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C2DF0" w14:textId="00DF8338" w:rsidR="002F1711" w:rsidRPr="00C52120" w:rsidRDefault="00B611DC" w:rsidP="00C52120">
      <w:pPr>
        <w:jc w:val="center"/>
        <w:rPr>
          <w:rFonts w:cs="Times New Roman"/>
          <w:b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>3</w:t>
      </w:r>
      <w:r w:rsidR="009932BA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 xml:space="preserve">. OBRAZLOŽENJE </w:t>
      </w:r>
      <w:r w:rsidR="00020520">
        <w:rPr>
          <w:rFonts w:cs="Times New Roman"/>
          <w:b/>
          <w:color w:val="000000" w:themeColor="text1"/>
          <w:sz w:val="24"/>
          <w:szCs w:val="24"/>
          <w:lang w:val="hr-HR"/>
        </w:rPr>
        <w:t>POLUGODIŠNJEG</w:t>
      </w:r>
      <w:r w:rsidR="00611DDB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 xml:space="preserve"> IZVJEŠTAJA O IZVRŠENJU PRORAČUNA </w:t>
      </w:r>
      <w:r w:rsidR="00424CA5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 xml:space="preserve">KRAPINSKO-ZAGORSKE ŽUPANIJE </w:t>
      </w:r>
      <w:r w:rsidR="00611DDB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>ZA RAZDOBLJE OD 01.</w:t>
      </w:r>
      <w:r w:rsidR="00424CA5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 xml:space="preserve"> SIJEČNJA</w:t>
      </w:r>
      <w:r w:rsidR="00611DDB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 xml:space="preserve"> DO 3</w:t>
      </w:r>
      <w:r w:rsidR="00020520">
        <w:rPr>
          <w:rFonts w:cs="Times New Roman"/>
          <w:b/>
          <w:color w:val="000000" w:themeColor="text1"/>
          <w:sz w:val="24"/>
          <w:szCs w:val="24"/>
          <w:lang w:val="hr-HR"/>
        </w:rPr>
        <w:t>0</w:t>
      </w:r>
      <w:r w:rsidR="00611DDB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>.</w:t>
      </w:r>
      <w:r w:rsidR="00424CA5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 xml:space="preserve"> </w:t>
      </w:r>
      <w:r w:rsidR="00020520">
        <w:rPr>
          <w:rFonts w:cs="Times New Roman"/>
          <w:b/>
          <w:color w:val="000000" w:themeColor="text1"/>
          <w:sz w:val="24"/>
          <w:szCs w:val="24"/>
          <w:lang w:val="hr-HR"/>
        </w:rPr>
        <w:t>LIPNJA</w:t>
      </w:r>
      <w:r w:rsidR="00424CA5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 xml:space="preserve"> </w:t>
      </w:r>
      <w:r w:rsidR="00611DDB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>202</w:t>
      </w:r>
      <w:r w:rsidR="007F7C79">
        <w:rPr>
          <w:rFonts w:cs="Times New Roman"/>
          <w:b/>
          <w:color w:val="000000" w:themeColor="text1"/>
          <w:sz w:val="24"/>
          <w:szCs w:val="24"/>
          <w:lang w:val="hr-HR"/>
        </w:rPr>
        <w:t>5</w:t>
      </w:r>
      <w:r w:rsidR="00611DDB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>. GODINE</w:t>
      </w:r>
    </w:p>
    <w:p w14:paraId="42331875" w14:textId="77777777" w:rsidR="00424CA5" w:rsidRPr="00C52120" w:rsidRDefault="00424CA5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05B486F0" w14:textId="77777777" w:rsidR="00D300B9" w:rsidRPr="00C52120" w:rsidRDefault="00D300B9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14937BFA" w14:textId="71D34472" w:rsidR="00424CA5" w:rsidRPr="00C52120" w:rsidRDefault="00424CA5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Temeljem odredbi članka 8</w:t>
      </w:r>
      <w:r w:rsidR="007C776C">
        <w:rPr>
          <w:rFonts w:cs="Times New Roman"/>
          <w:color w:val="000000" w:themeColor="text1"/>
          <w:sz w:val="24"/>
          <w:szCs w:val="24"/>
          <w:lang w:val="hr-HR"/>
        </w:rPr>
        <w:t>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. Zakona o proračunu </w:t>
      </w:r>
      <w:r w:rsidR="00770444" w:rsidRPr="00C52120">
        <w:rPr>
          <w:rFonts w:cs="Times New Roman"/>
          <w:color w:val="000000" w:themeColor="text1"/>
          <w:sz w:val="24"/>
          <w:szCs w:val="24"/>
          <w:lang w:val="hr-HR"/>
        </w:rPr>
        <w:t>(„Narodne novine“, broj 144/</w:t>
      </w:r>
      <w:r w:rsidR="005E1E77" w:rsidRPr="00C52120">
        <w:rPr>
          <w:rFonts w:cs="Times New Roman"/>
          <w:color w:val="000000" w:themeColor="text1"/>
          <w:sz w:val="24"/>
          <w:szCs w:val="24"/>
          <w:lang w:val="hr-HR"/>
        </w:rPr>
        <w:t>20</w:t>
      </w:r>
      <w:r w:rsidR="00770444" w:rsidRPr="00C52120">
        <w:rPr>
          <w:rFonts w:cs="Times New Roman"/>
          <w:color w:val="000000" w:themeColor="text1"/>
          <w:sz w:val="24"/>
          <w:szCs w:val="24"/>
          <w:lang w:val="hr-HR"/>
        </w:rPr>
        <w:t>21</w:t>
      </w:r>
      <w:r w:rsidR="0025215E">
        <w:rPr>
          <w:rFonts w:cs="Times New Roman"/>
          <w:color w:val="000000" w:themeColor="text1"/>
          <w:sz w:val="24"/>
          <w:szCs w:val="24"/>
          <w:lang w:val="hr-HR"/>
        </w:rPr>
        <w:t>.</w:t>
      </w:r>
      <w:r w:rsidR="00770444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), propisano je da Ministarstvo financija, odnosno upravno tijelo za financije izrađuje </w:t>
      </w:r>
      <w:r w:rsidR="007C776C">
        <w:rPr>
          <w:rFonts w:cs="Times New Roman"/>
          <w:color w:val="000000" w:themeColor="text1"/>
          <w:sz w:val="24"/>
          <w:szCs w:val="24"/>
          <w:lang w:val="hr-HR"/>
        </w:rPr>
        <w:t>polugodišnji</w:t>
      </w:r>
      <w:r w:rsidR="00770444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izvještaj o izvršenju proračuna i dostavlja ga Vladi, odnosno načelniku, gradonačelniku, županu</w:t>
      </w:r>
      <w:r w:rsidR="00CA0EBE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najkasnije do </w:t>
      </w:r>
      <w:r w:rsidR="007C776C">
        <w:rPr>
          <w:rFonts w:cs="Times New Roman"/>
          <w:color w:val="000000" w:themeColor="text1"/>
          <w:sz w:val="24"/>
          <w:szCs w:val="24"/>
          <w:lang w:val="hr-HR"/>
        </w:rPr>
        <w:t>15. rujna tekuće proračunske godine.</w:t>
      </w:r>
    </w:p>
    <w:p w14:paraId="76919FB5" w14:textId="5EC6F2D9" w:rsidR="00CA0EBE" w:rsidRPr="00C52120" w:rsidRDefault="00CA0EBE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Vlada, na prijedlog Ministarstva financija, odnosno načelnik, gradonačelnik, župan podnosi Saboru odnosno predstavničkom tijelu na donošenje </w:t>
      </w:r>
      <w:r w:rsidR="007C776C">
        <w:rPr>
          <w:rFonts w:cs="Times New Roman"/>
          <w:color w:val="000000" w:themeColor="text1"/>
          <w:sz w:val="24"/>
          <w:szCs w:val="24"/>
          <w:lang w:val="hr-HR"/>
        </w:rPr>
        <w:t>prijedlog polugodišnjeg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izvještaj</w:t>
      </w:r>
      <w:r w:rsidR="007C776C">
        <w:rPr>
          <w:rFonts w:cs="Times New Roman"/>
          <w:color w:val="000000" w:themeColor="text1"/>
          <w:sz w:val="24"/>
          <w:szCs w:val="24"/>
          <w:lang w:val="hr-HR"/>
        </w:rPr>
        <w:t>a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o izvršenju proračuna do 3</w:t>
      </w:r>
      <w:r w:rsidR="007C776C">
        <w:rPr>
          <w:rFonts w:cs="Times New Roman"/>
          <w:color w:val="000000" w:themeColor="text1"/>
          <w:sz w:val="24"/>
          <w:szCs w:val="24"/>
          <w:lang w:val="hr-HR"/>
        </w:rPr>
        <w:t>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. </w:t>
      </w:r>
      <w:r w:rsidR="007C776C">
        <w:rPr>
          <w:rFonts w:cs="Times New Roman"/>
          <w:color w:val="000000" w:themeColor="text1"/>
          <w:sz w:val="24"/>
          <w:szCs w:val="24"/>
          <w:lang w:val="hr-HR"/>
        </w:rPr>
        <w:t>rujna tekuće proračunske godine.</w:t>
      </w:r>
    </w:p>
    <w:p w14:paraId="61B2A4F1" w14:textId="1F78A5C6" w:rsidR="00CA0EBE" w:rsidRPr="00C52120" w:rsidRDefault="00932445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Izgled i sadržaj </w:t>
      </w:r>
      <w:r w:rsidR="007C776C">
        <w:rPr>
          <w:rFonts w:cs="Times New Roman"/>
          <w:color w:val="000000" w:themeColor="text1"/>
          <w:sz w:val="24"/>
          <w:szCs w:val="24"/>
          <w:lang w:val="hr-HR"/>
        </w:rPr>
        <w:t>polugodišnjeg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izvještaja o izvršenju proračuna propisan je Pravilnikom o polugodišnjem i godišnjem izvještaju o izvršenju proračuna i financijskog plana („Narodne novine“, broj </w:t>
      </w:r>
      <w:r w:rsidR="005E1E77" w:rsidRPr="00C52120">
        <w:rPr>
          <w:rFonts w:cs="Times New Roman"/>
          <w:color w:val="000000" w:themeColor="text1"/>
          <w:sz w:val="24"/>
          <w:szCs w:val="24"/>
          <w:lang w:val="hr-HR"/>
        </w:rPr>
        <w:t>85/2023</w:t>
      </w:r>
      <w:r w:rsidR="00DA3F86">
        <w:rPr>
          <w:rFonts w:cs="Times New Roman"/>
          <w:color w:val="000000" w:themeColor="text1"/>
          <w:sz w:val="24"/>
          <w:szCs w:val="24"/>
          <w:lang w:val="hr-HR"/>
        </w:rPr>
        <w:t>.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)</w:t>
      </w:r>
      <w:r w:rsidR="00A87BB2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. </w:t>
      </w:r>
    </w:p>
    <w:p w14:paraId="15FD6AFD" w14:textId="77777777" w:rsidR="00081472" w:rsidRPr="00C52120" w:rsidRDefault="00081472" w:rsidP="00081472">
      <w:pPr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</w:p>
    <w:p w14:paraId="6AB536DC" w14:textId="206B3FEB" w:rsidR="007E1DC0" w:rsidRDefault="00B93ABA" w:rsidP="00B93ABA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>Proračun Krapinsko-zagorske županije zajedno s proračunskim korisnicima</w:t>
      </w:r>
      <w:r w:rsidR="002B16C6">
        <w:rPr>
          <w:rFonts w:cs="Times New Roman"/>
          <w:color w:val="000000" w:themeColor="text1"/>
          <w:sz w:val="24"/>
          <w:szCs w:val="24"/>
          <w:lang w:val="hr-HR"/>
        </w:rPr>
        <w:t xml:space="preserve"> (konsolidirani proračun)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planiran je u iznosu od 2</w:t>
      </w:r>
      <w:r w:rsidR="00767095">
        <w:rPr>
          <w:rFonts w:cs="Times New Roman"/>
          <w:color w:val="000000" w:themeColor="text1"/>
          <w:sz w:val="24"/>
          <w:szCs w:val="24"/>
          <w:lang w:val="hr-HR"/>
        </w:rPr>
        <w:t>77.147.680,01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EUR.</w:t>
      </w:r>
      <w:r w:rsidR="00767095">
        <w:rPr>
          <w:rFonts w:cs="Times New Roman"/>
          <w:color w:val="000000" w:themeColor="text1"/>
          <w:sz w:val="24"/>
          <w:szCs w:val="24"/>
          <w:lang w:val="hr-HR"/>
        </w:rPr>
        <w:t xml:space="preserve"> U razdoblju od 01.01. – 30.06.2025. godine Krapinsko-zagorska županija i njezini proračunski korisnici ostvarili su ukupne prihode i primitke u iznosu od 80.822.979,16 EUR što predstavlja 29% godišnjeg plana. </w:t>
      </w:r>
      <w:r w:rsidR="007E1DC0">
        <w:rPr>
          <w:rFonts w:cs="Times New Roman"/>
          <w:color w:val="000000" w:themeColor="text1"/>
          <w:sz w:val="24"/>
          <w:szCs w:val="24"/>
          <w:lang w:val="hr-HR"/>
        </w:rPr>
        <w:t>S druge strane, ukupni rashodi i izdaci u razdoblju od 01.01. – 30.06.2025. godine ostvareni su u iznosu od 95.907.721,86 EUR što predstavlja 35% godišnjeg plana.</w:t>
      </w:r>
      <w:r w:rsidR="00767095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</w:p>
    <w:p w14:paraId="5D53A3FB" w14:textId="38096352" w:rsidR="007E1DC0" w:rsidRPr="002B16C6" w:rsidRDefault="007E1DC0" w:rsidP="00B93ABA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 xml:space="preserve">Proračun </w:t>
      </w:r>
      <w:r w:rsidR="00B93ABA">
        <w:rPr>
          <w:rFonts w:cs="Times New Roman"/>
          <w:sz w:val="24"/>
          <w:szCs w:val="24"/>
          <w:lang w:val="hr-HR"/>
        </w:rPr>
        <w:t xml:space="preserve">Krapinsko-zagorske županije bez proračunskih korisnika planiran je u iznosu od </w:t>
      </w:r>
      <w:r>
        <w:rPr>
          <w:rFonts w:cs="Times New Roman"/>
          <w:sz w:val="24"/>
          <w:szCs w:val="24"/>
          <w:lang w:val="hr-HR"/>
        </w:rPr>
        <w:t>110.181.229,48</w:t>
      </w:r>
      <w:r w:rsidR="00B93ABA">
        <w:rPr>
          <w:rFonts w:cs="Times New Roman"/>
          <w:sz w:val="24"/>
          <w:szCs w:val="24"/>
          <w:lang w:val="hr-HR"/>
        </w:rPr>
        <w:t xml:space="preserve"> EUR. </w:t>
      </w:r>
      <w:r>
        <w:rPr>
          <w:rFonts w:cs="Times New Roman"/>
          <w:sz w:val="24"/>
          <w:szCs w:val="24"/>
          <w:lang w:val="hr-HR"/>
        </w:rPr>
        <w:t>U razdoblju od 01.01. – 30.06.2025. godine Krapinsko-zagorska županija (</w:t>
      </w:r>
      <w:r w:rsidRPr="002B16C6">
        <w:rPr>
          <w:rFonts w:cs="Times New Roman"/>
          <w:color w:val="000000" w:themeColor="text1"/>
          <w:sz w:val="24"/>
          <w:szCs w:val="24"/>
          <w:lang w:val="hr-HR"/>
        </w:rPr>
        <w:t xml:space="preserve">županijski proračun) ostvarila je ukupne prihode i primitke u iznosu od </w:t>
      </w:r>
      <w:r w:rsidR="001C2019" w:rsidRPr="002B16C6">
        <w:rPr>
          <w:rFonts w:cs="Times New Roman"/>
          <w:color w:val="000000" w:themeColor="text1"/>
          <w:sz w:val="24"/>
          <w:szCs w:val="24"/>
          <w:lang w:val="hr-HR"/>
        </w:rPr>
        <w:t>17.326.610,23</w:t>
      </w:r>
      <w:r w:rsidRPr="002B16C6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8F7881" w:rsidRPr="002B16C6">
        <w:rPr>
          <w:rFonts w:cs="Times New Roman"/>
          <w:color w:val="000000" w:themeColor="text1"/>
          <w:sz w:val="24"/>
          <w:szCs w:val="24"/>
          <w:lang w:val="hr-HR"/>
        </w:rPr>
        <w:t xml:space="preserve">EUR </w:t>
      </w:r>
      <w:r w:rsidRPr="002B16C6">
        <w:rPr>
          <w:rFonts w:cs="Times New Roman"/>
          <w:color w:val="000000" w:themeColor="text1"/>
          <w:sz w:val="24"/>
          <w:szCs w:val="24"/>
          <w:lang w:val="hr-HR"/>
        </w:rPr>
        <w:t xml:space="preserve">što predstavlja </w:t>
      </w:r>
      <w:r w:rsidR="001C2019" w:rsidRPr="002B16C6">
        <w:rPr>
          <w:rFonts w:cs="Times New Roman"/>
          <w:color w:val="000000" w:themeColor="text1"/>
          <w:sz w:val="24"/>
          <w:szCs w:val="24"/>
          <w:lang w:val="hr-HR"/>
        </w:rPr>
        <w:t>16</w:t>
      </w:r>
      <w:r w:rsidRPr="002B16C6">
        <w:rPr>
          <w:rFonts w:cs="Times New Roman"/>
          <w:color w:val="000000" w:themeColor="text1"/>
          <w:sz w:val="24"/>
          <w:szCs w:val="24"/>
          <w:lang w:val="hr-HR"/>
        </w:rPr>
        <w:t xml:space="preserve">% godišnjeg plana. Ukupni rashodi i izdaci u razdoblju od 01.01. – 30.06.2025. godine ostvareni su u iznosu od </w:t>
      </w:r>
      <w:r w:rsidR="001C2019" w:rsidRPr="002B16C6">
        <w:rPr>
          <w:rFonts w:cs="Times New Roman"/>
          <w:color w:val="000000" w:themeColor="text1"/>
          <w:sz w:val="24"/>
          <w:szCs w:val="24"/>
          <w:lang w:val="hr-HR"/>
        </w:rPr>
        <w:t>19.888.316,05</w:t>
      </w:r>
      <w:r w:rsidRPr="002B16C6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8F7881" w:rsidRPr="002B16C6">
        <w:rPr>
          <w:rFonts w:cs="Times New Roman"/>
          <w:color w:val="000000" w:themeColor="text1"/>
          <w:sz w:val="24"/>
          <w:szCs w:val="24"/>
          <w:lang w:val="hr-HR"/>
        </w:rPr>
        <w:t xml:space="preserve">EUR </w:t>
      </w:r>
      <w:r w:rsidRPr="002B16C6">
        <w:rPr>
          <w:rFonts w:cs="Times New Roman"/>
          <w:color w:val="000000" w:themeColor="text1"/>
          <w:sz w:val="24"/>
          <w:szCs w:val="24"/>
          <w:lang w:val="hr-HR"/>
        </w:rPr>
        <w:t xml:space="preserve">što predstavlja </w:t>
      </w:r>
      <w:r w:rsidR="001C2019" w:rsidRPr="002B16C6">
        <w:rPr>
          <w:rFonts w:cs="Times New Roman"/>
          <w:color w:val="000000" w:themeColor="text1"/>
          <w:sz w:val="24"/>
          <w:szCs w:val="24"/>
          <w:lang w:val="hr-HR"/>
        </w:rPr>
        <w:t>18</w:t>
      </w:r>
      <w:r w:rsidRPr="002B16C6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1DEF23C4" w14:textId="77777777" w:rsidR="007E1DC0" w:rsidRDefault="007E1DC0" w:rsidP="00B93ABA">
      <w:pPr>
        <w:jc w:val="both"/>
        <w:rPr>
          <w:rFonts w:cs="Times New Roman"/>
          <w:sz w:val="24"/>
          <w:szCs w:val="24"/>
          <w:lang w:val="hr-HR"/>
        </w:rPr>
      </w:pPr>
    </w:p>
    <w:p w14:paraId="197F256D" w14:textId="77777777" w:rsidR="001C2019" w:rsidRPr="001C2019" w:rsidRDefault="001C2019" w:rsidP="001C2019">
      <w:pPr>
        <w:tabs>
          <w:tab w:val="left" w:pos="820"/>
        </w:tabs>
        <w:ind w:right="-23"/>
        <w:jc w:val="both"/>
        <w:rPr>
          <w:rFonts w:cs="Times New Roman"/>
          <w:sz w:val="24"/>
          <w:szCs w:val="24"/>
          <w:lang w:val="hr-HR"/>
        </w:rPr>
      </w:pPr>
      <w:r w:rsidRPr="001C2019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Prihodi poslovanja (konsolidirani proračun)</w:t>
      </w:r>
    </w:p>
    <w:p w14:paraId="3DCB7EB6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42C8D895" w14:textId="34565114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>U razdoblju od 01.01 - 3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>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>06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.202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>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godine Krapinsko-zagorska županija i njezini proračunski korisnici</w:t>
      </w:r>
      <w:r w:rsidRPr="001C2019">
        <w:rPr>
          <w:rFonts w:cs="Times New Roman"/>
          <w:color w:val="000000" w:themeColor="text1"/>
          <w:sz w:val="24"/>
          <w:szCs w:val="24"/>
          <w:vertAlign w:val="superscript"/>
          <w:lang w:val="hr-HR"/>
        </w:rPr>
        <w:footnoteReference w:id="1"/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(županijski proračun + proračunski korisnici) ostvarili su prihode poslovanja i prihode od prodaje nefinancijske imovine u iznosu od 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>79.194.566,59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(Tablica 1.).</w:t>
      </w:r>
    </w:p>
    <w:p w14:paraId="2E29A0CD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0E0A95B1" w14:textId="77777777" w:rsidR="001C2019" w:rsidRPr="001C2019" w:rsidRDefault="001C2019" w:rsidP="00F676B8">
      <w:pPr>
        <w:jc w:val="center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Tablica 1. Struktura izvršenja prihoda (konsolidirani Proračun)</w:t>
      </w:r>
    </w:p>
    <w:p w14:paraId="471D6A23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1971"/>
        <w:gridCol w:w="1366"/>
        <w:gridCol w:w="1466"/>
        <w:gridCol w:w="1466"/>
        <w:gridCol w:w="1366"/>
        <w:gridCol w:w="1033"/>
        <w:gridCol w:w="966"/>
      </w:tblGrid>
      <w:tr w:rsidR="00F676B8" w:rsidRPr="00224971" w14:paraId="1B525066" w14:textId="77777777" w:rsidTr="00F676B8">
        <w:trPr>
          <w:trHeight w:val="615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7F26007" w14:textId="77777777" w:rsidR="00F676B8" w:rsidRPr="00224971" w:rsidRDefault="00F676B8" w:rsidP="00224971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Brojčana oznaka i naziv</w:t>
            </w:r>
          </w:p>
          <w:p w14:paraId="65BB8B0B" w14:textId="5F0AAF42" w:rsidR="00F676B8" w:rsidRPr="00224971" w:rsidRDefault="00F676B8" w:rsidP="00224971">
            <w:pPr>
              <w:suppressAutoHyphens w:val="0"/>
              <w:jc w:val="center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6D20161" w14:textId="77777777" w:rsidR="00F676B8" w:rsidRPr="00224971" w:rsidRDefault="00F676B8" w:rsidP="00224971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Izvršenje 2024.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18BE505" w14:textId="77777777" w:rsidR="00F676B8" w:rsidRPr="00224971" w:rsidRDefault="00F676B8" w:rsidP="00224971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Izvorni plan 2025.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EDDB12F" w14:textId="77777777" w:rsidR="00F676B8" w:rsidRPr="00224971" w:rsidRDefault="00F676B8" w:rsidP="00224971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Tekući plan 2025.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9E30CAC" w14:textId="77777777" w:rsidR="00F676B8" w:rsidRPr="00224971" w:rsidRDefault="00F676B8" w:rsidP="00224971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Izvršenje 2025.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66A0FF4" w14:textId="77777777" w:rsidR="00F676B8" w:rsidRPr="00224971" w:rsidRDefault="00F676B8" w:rsidP="00224971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Indeks  4/1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DF2EBF0" w14:textId="77777777" w:rsidR="00F676B8" w:rsidRPr="00224971" w:rsidRDefault="00F676B8" w:rsidP="00224971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Indeks  4/3</w:t>
            </w:r>
          </w:p>
        </w:tc>
      </w:tr>
      <w:tr w:rsidR="00224971" w:rsidRPr="00224971" w14:paraId="68835669" w14:textId="77777777" w:rsidTr="00F676B8">
        <w:trPr>
          <w:trHeight w:val="24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3166C" w14:textId="77777777" w:rsidR="00224971" w:rsidRPr="00224971" w:rsidRDefault="00224971" w:rsidP="00224971">
            <w:pPr>
              <w:suppressAutoHyphens w:val="0"/>
              <w:rPr>
                <w:rFonts w:cs="Times New Roman"/>
                <w:b/>
                <w:bCs/>
                <w:i/>
                <w:i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i/>
                <w:iCs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FFE03" w14:textId="77777777" w:rsidR="00224971" w:rsidRPr="00224971" w:rsidRDefault="00224971" w:rsidP="00224971">
            <w:pPr>
              <w:suppressAutoHyphens w:val="0"/>
              <w:jc w:val="center"/>
              <w:rPr>
                <w:rFonts w:cs="Times New Roman"/>
                <w:b/>
                <w:bCs/>
                <w:i/>
                <w:i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i/>
                <w:iCs/>
                <w:lang w:val="hr-HR" w:eastAsia="hr-HR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06538" w14:textId="77777777" w:rsidR="00224971" w:rsidRPr="00224971" w:rsidRDefault="00224971" w:rsidP="00224971">
            <w:pPr>
              <w:suppressAutoHyphens w:val="0"/>
              <w:jc w:val="center"/>
              <w:rPr>
                <w:rFonts w:cs="Times New Roman"/>
                <w:b/>
                <w:bCs/>
                <w:i/>
                <w:i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i/>
                <w:iCs/>
                <w:lang w:val="hr-HR" w:eastAsia="hr-HR"/>
              </w:rP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81505" w14:textId="77777777" w:rsidR="00224971" w:rsidRPr="00224971" w:rsidRDefault="00224971" w:rsidP="00224971">
            <w:pPr>
              <w:suppressAutoHyphens w:val="0"/>
              <w:jc w:val="center"/>
              <w:rPr>
                <w:rFonts w:cs="Times New Roman"/>
                <w:b/>
                <w:bCs/>
                <w:i/>
                <w:i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i/>
                <w:iCs/>
                <w:lang w:val="hr-HR" w:eastAsia="hr-HR"/>
              </w:rPr>
              <w:t>3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B4E70" w14:textId="77777777" w:rsidR="00224971" w:rsidRPr="00224971" w:rsidRDefault="00224971" w:rsidP="00224971">
            <w:pPr>
              <w:suppressAutoHyphens w:val="0"/>
              <w:jc w:val="center"/>
              <w:rPr>
                <w:rFonts w:cs="Times New Roman"/>
                <w:b/>
                <w:bCs/>
                <w:i/>
                <w:i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i/>
                <w:iCs/>
                <w:lang w:val="hr-HR" w:eastAsia="hr-HR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CEE90" w14:textId="77777777" w:rsidR="00224971" w:rsidRPr="00224971" w:rsidRDefault="00224971" w:rsidP="00224971">
            <w:pPr>
              <w:suppressAutoHyphens w:val="0"/>
              <w:jc w:val="center"/>
              <w:rPr>
                <w:rFonts w:cs="Times New Roman"/>
                <w:b/>
                <w:bCs/>
                <w:i/>
                <w:i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i/>
                <w:iCs/>
                <w:lang w:val="hr-HR" w:eastAsia="hr-HR"/>
              </w:rPr>
              <w:t>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8D5EA" w14:textId="77777777" w:rsidR="00224971" w:rsidRPr="00224971" w:rsidRDefault="00224971" w:rsidP="00224971">
            <w:pPr>
              <w:suppressAutoHyphens w:val="0"/>
              <w:jc w:val="center"/>
              <w:rPr>
                <w:rFonts w:cs="Times New Roman"/>
                <w:b/>
                <w:bCs/>
                <w:i/>
                <w:i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i/>
                <w:iCs/>
                <w:lang w:val="hr-HR" w:eastAsia="hr-HR"/>
              </w:rPr>
              <w:t>6</w:t>
            </w:r>
          </w:p>
        </w:tc>
      </w:tr>
      <w:tr w:rsidR="00224971" w:rsidRPr="00224971" w14:paraId="01382165" w14:textId="77777777" w:rsidTr="00F676B8">
        <w:trPr>
          <w:trHeight w:val="30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6E346" w14:textId="77777777" w:rsidR="00224971" w:rsidRPr="00224971" w:rsidRDefault="00224971" w:rsidP="00224971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6 Prihodi poslovanja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9A1D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92.349.462,05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26B6D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260.032.866,01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028E3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260.032.866,01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D62B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79.138.105,74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09638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85,69%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F9B5C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30,43%</w:t>
            </w:r>
          </w:p>
        </w:tc>
      </w:tr>
      <w:tr w:rsidR="00224971" w:rsidRPr="00224971" w14:paraId="61989448" w14:textId="77777777" w:rsidTr="00F676B8">
        <w:trPr>
          <w:trHeight w:val="30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5D4AA" w14:textId="77777777" w:rsidR="00224971" w:rsidRPr="00224971" w:rsidRDefault="00224971" w:rsidP="00224971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61 Prihodi od poreza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C67B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9.359.404,72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369E9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22.104.910,00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303B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22.104.910,00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21E88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10.111.843,92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A10D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108,04%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4BBE1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45,74%</w:t>
            </w:r>
          </w:p>
        </w:tc>
      </w:tr>
      <w:tr w:rsidR="00224971" w:rsidRPr="00224971" w14:paraId="22549655" w14:textId="77777777" w:rsidTr="00F676B8">
        <w:trPr>
          <w:trHeight w:val="30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D7D6D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611 Porez na dohodak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18E53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8.701.316,67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C3D2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E1593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E6A6B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9.394.543,24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53F52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107,97%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B0C54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04CBDD80" w14:textId="77777777" w:rsidTr="00F676B8">
        <w:trPr>
          <w:trHeight w:val="30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80DFA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613 Porezi na imovinu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CF428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37.582,29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F6F2F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930F2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789B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37.745,01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ABDC4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100,43%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F0051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7ECDD1E8" w14:textId="77777777" w:rsidTr="00F676B8">
        <w:trPr>
          <w:trHeight w:val="54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D2236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lastRenderedPageBreak/>
              <w:t>614 Porezi na robu i usluge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6399F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620.505,76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D77F5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FBAC2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C8CA1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679.555,67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BC265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109,52%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D889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5921AE0F" w14:textId="77777777" w:rsidTr="00F676B8">
        <w:trPr>
          <w:trHeight w:val="102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AB54E" w14:textId="77777777" w:rsidR="00224971" w:rsidRPr="00224971" w:rsidRDefault="00224971" w:rsidP="00224971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63 Pomoći iz inozemstva i od subjekata unutar općeg proračuna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0A4D47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55.816.021,57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34B65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164.551.476,28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06124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164.551.476,28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BA13B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38.710.379,02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537B7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69,35%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734CE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23,52%</w:t>
            </w:r>
          </w:p>
        </w:tc>
      </w:tr>
      <w:tr w:rsidR="00224971" w:rsidRPr="00224971" w14:paraId="4CD3216E" w14:textId="77777777" w:rsidTr="00F676B8">
        <w:trPr>
          <w:trHeight w:val="102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1F4C96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632 Pomoći od međunarodnih organizacija te institucija i tijela EU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A203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530.483,50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428C11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4107D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F95A9C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3.336,20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5FAA7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0,63%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DBEF2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2D1EAEF6" w14:textId="77777777" w:rsidTr="00F676B8">
        <w:trPr>
          <w:trHeight w:val="102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B658CB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633 Pomoći proračunu i izvanproračunskim korisnicima iz drugih proračuna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949CD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4.024.899,11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110015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3D11D3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E1B095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2.476.203,32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401162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61,52%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E79A7F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5FD203F1" w14:textId="77777777" w:rsidTr="00F676B8">
        <w:trPr>
          <w:trHeight w:val="78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2AEF63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634 Pomoći od izvanproračunskih korisnika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E4F2E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615.371,74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A0639D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1A57F3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ACDDEC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137.073,09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A55A3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22,27%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44432E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155DC181" w14:textId="77777777" w:rsidTr="00F676B8">
        <w:trPr>
          <w:trHeight w:val="102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EE124A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635 Pomoći izravnanja za decentralizirane funkcije i fiskalnog izravnanja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405D4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3.217.156,90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472FB5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FDEE18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A4098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3.527.297,78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E4ECB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109,64%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197E9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590086F3" w14:textId="77777777" w:rsidTr="00F676B8">
        <w:trPr>
          <w:trHeight w:val="102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52F14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636 Pomoći proračunskim korisnicima iz proračuna koji im nije nadležan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BFB77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30.884.076,37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6ADEF7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F8A8A9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6B29D8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29.882.066,45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312421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96,76%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3C59B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1CC2F0CD" w14:textId="77777777" w:rsidTr="00F676B8">
        <w:trPr>
          <w:trHeight w:val="54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460899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638 Pomoći temeljem prijenosa EU sredstava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C493C7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9.814.164,41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65E3A1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DA6304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56DE4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2.473.151,12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258AB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25,20%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73B83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7AF0AD99" w14:textId="77777777" w:rsidTr="00F676B8">
        <w:trPr>
          <w:trHeight w:val="78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9CA4A3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639 Prijenosi između proračunskih korisnika istog proračuna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64FBF2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6.729.869,54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26123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F536B0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FAF8A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211.251,06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3E246A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3,14%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7C3D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2D6447F5" w14:textId="77777777" w:rsidTr="00F676B8">
        <w:trPr>
          <w:trHeight w:val="30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40C402" w14:textId="77777777" w:rsidR="00224971" w:rsidRPr="00224971" w:rsidRDefault="00224971" w:rsidP="00224971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64 Prihodi od imovine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C83A1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116.513,65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42778E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333.299,69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141AE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333.299,69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716170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200.120,54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3EC7E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171,76%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45957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60,04%</w:t>
            </w:r>
          </w:p>
        </w:tc>
      </w:tr>
      <w:tr w:rsidR="00224971" w:rsidRPr="00224971" w14:paraId="31131BA4" w14:textId="77777777" w:rsidTr="00F676B8">
        <w:trPr>
          <w:trHeight w:val="54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94450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641 Prihodi od financijske imovine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EA7BF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17.917,19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63FCE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2A6739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6E80C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72.651,22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0F53E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405,48%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8D200B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1504F535" w14:textId="77777777" w:rsidTr="00F676B8">
        <w:trPr>
          <w:trHeight w:val="54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82DA8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642 Prihodi od nefinancijske imovine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C6005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95.368,36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C7F6D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149BE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86F35C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123.873,37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32FB7F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129,89%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70058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4F626A97" w14:textId="77777777" w:rsidTr="00F676B8">
        <w:trPr>
          <w:trHeight w:val="54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F9F6F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643 Prihodi od kamata na dane zajmove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45377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1.399,17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2FD08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1FF09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1E219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3.595,95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6BAD27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257,01%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DE835E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7C53EC3B" w14:textId="77777777" w:rsidTr="00F676B8">
        <w:trPr>
          <w:trHeight w:val="78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FFA9A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644 Prihodi od kamata na dane zajmove po protestiranim jamstvima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5D8DF5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1.828,93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BC9B2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15756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45ABB1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84C69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F8514E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7411213D" w14:textId="77777777" w:rsidTr="00F676B8">
        <w:trPr>
          <w:trHeight w:val="1545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9A9DE7" w14:textId="77777777" w:rsidR="00224971" w:rsidRPr="00224971" w:rsidRDefault="00224971" w:rsidP="00224971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65 Prihodi od upravnih i administrativnih pristojbi, pristojbi po posebnim propisima i naknada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A8742B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3.150.195,49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7D79E0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7.237.083,23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96190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7.237.083,23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E0AD53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3.177.314,48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662517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100,86%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9B852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43,90%</w:t>
            </w:r>
          </w:p>
        </w:tc>
      </w:tr>
      <w:tr w:rsidR="00224971" w:rsidRPr="00224971" w14:paraId="4750E844" w14:textId="77777777" w:rsidTr="00F676B8">
        <w:trPr>
          <w:trHeight w:val="54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352050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lastRenderedPageBreak/>
              <w:t>651 Upravne i administrativne pristojbe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58058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110.554,80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B97D4C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89179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17FA9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119.023,14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4B52C7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107,66%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39B13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666E49DB" w14:textId="77777777" w:rsidTr="00F676B8">
        <w:trPr>
          <w:trHeight w:val="54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B53AC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652 Prihodi po posebnim propisima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58E3B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3.039.640,69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E2F5E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4C235C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53DCA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3.058.291,34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03F28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100,61%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3B407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77B1F378" w14:textId="77777777" w:rsidTr="00F676B8">
        <w:trPr>
          <w:trHeight w:val="1685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14442E" w14:textId="77777777" w:rsidR="00224971" w:rsidRPr="00224971" w:rsidRDefault="00224971" w:rsidP="00224971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66 Prihodi od prodaje proizvoda i robe te pruženih usluga, prihodi od donacija te povrati po protestiranim jamstvima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88689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3.592.512,95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10E18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8.228.220,81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69320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8.228.220,81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E6F563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3.905.175,49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0AABD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108,70%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2CAFC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47,46%</w:t>
            </w:r>
          </w:p>
        </w:tc>
      </w:tr>
      <w:tr w:rsidR="00224971" w:rsidRPr="00224971" w14:paraId="7A65A770" w14:textId="77777777" w:rsidTr="00F676B8">
        <w:trPr>
          <w:trHeight w:val="78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D63F34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661 Prihodi od prodaje proizvoda i robe te pruženih usluga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436411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3.515.231,03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62A02A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A75535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7CA5F3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3.794.394,67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73100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107,94%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F78AF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0E502EF6" w14:textId="77777777" w:rsidTr="00F676B8">
        <w:trPr>
          <w:trHeight w:val="156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57A09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663 Donacije od pravnih i fizičkih osoba izvan općeg proračuna te povrat donacija i kapitalnih pomoći po protestiranim jamstvima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778F9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77.281,92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8A9CC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6B993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89F44C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110.780,82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6DF4C8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143,35%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4691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15BC9F98" w14:textId="77777777" w:rsidTr="00F676B8">
        <w:trPr>
          <w:trHeight w:val="1035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264F29" w14:textId="77777777" w:rsidR="00224971" w:rsidRPr="00224971" w:rsidRDefault="00224971" w:rsidP="00224971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67 Prihodi iz nadležnog proračuna i od HZZO-a temeljem ugovornih obveza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B7AFCA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20.285.946,82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DF8E55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57.520.886,00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642454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57.520.886,00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26F00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22.994.655,90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92D97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113,35%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6C47C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39,98%</w:t>
            </w:r>
          </w:p>
        </w:tc>
      </w:tr>
      <w:tr w:rsidR="00224971" w:rsidRPr="00224971" w14:paraId="2D03D4E0" w14:textId="77777777" w:rsidTr="00F676B8">
        <w:trPr>
          <w:trHeight w:val="81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4335D5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673 Prihodi od HZZO-a na temelju ugovornih obveza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74D4EB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20.285.946,82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8F91C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9A92C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BDC84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22.994.655,90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7A47F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113,35%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E6F62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3BB2B651" w14:textId="77777777" w:rsidTr="00F676B8">
        <w:trPr>
          <w:trHeight w:val="54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0A59CA" w14:textId="77777777" w:rsidR="00224971" w:rsidRPr="00224971" w:rsidRDefault="00224971" w:rsidP="00224971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68 Kazne, upravne mjere i ostali prihodi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347A4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28.866,85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802D53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56.990,00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57C5AF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56.990,00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7A037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38.616,39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DA4F6C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133,77%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25BC39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67,76%</w:t>
            </w:r>
          </w:p>
        </w:tc>
      </w:tr>
      <w:tr w:rsidR="00224971" w:rsidRPr="00224971" w14:paraId="66FF0AFA" w14:textId="77777777" w:rsidTr="00F676B8">
        <w:trPr>
          <w:trHeight w:val="54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091293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681 Kazne i upravne mjere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A6061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602,07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02DF3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1F8C68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5A5669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667,59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1D1CF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110,88%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CADFF9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5FF741F7" w14:textId="77777777" w:rsidTr="00F676B8">
        <w:trPr>
          <w:trHeight w:val="30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50983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683 Ostali prihodi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5AC7A0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28.264,78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90138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A08EBE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910137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37.948,80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86DEC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134,26%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CDF9DD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0BD45A01" w14:textId="77777777" w:rsidTr="00F676B8">
        <w:trPr>
          <w:trHeight w:val="54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A80CA" w14:textId="77777777" w:rsidR="00224971" w:rsidRPr="00224971" w:rsidRDefault="00224971" w:rsidP="00224971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7 Prihodi od prodaje nefinancijske imovine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B99FA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9.784,51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EEE86F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28.889,69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7B148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28.889,69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8F185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56.460,85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965767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577,04%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A3ED52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195,44%</w:t>
            </w:r>
          </w:p>
        </w:tc>
      </w:tr>
      <w:tr w:rsidR="00224971" w:rsidRPr="00224971" w14:paraId="1B4BE156" w14:textId="77777777" w:rsidTr="00F676B8">
        <w:trPr>
          <w:trHeight w:val="78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8D8B76" w14:textId="77777777" w:rsidR="00224971" w:rsidRPr="00224971" w:rsidRDefault="00224971" w:rsidP="00224971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71 Prihodi od prodaje neproizvedene dugotrajne imovine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2C296D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3E024D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17.000,00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EB3DA8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17.000,00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92F4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750B9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3076D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 </w:t>
            </w:r>
          </w:p>
        </w:tc>
      </w:tr>
      <w:tr w:rsidR="00224971" w:rsidRPr="00224971" w14:paraId="559FD10B" w14:textId="77777777" w:rsidTr="00F676B8">
        <w:trPr>
          <w:trHeight w:val="78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061CE" w14:textId="77777777" w:rsidR="00224971" w:rsidRPr="00224971" w:rsidRDefault="00224971" w:rsidP="00224971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72 Prihodi od prodaje proizvedene dugotrajne imovine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84F335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9.784,51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2E3C9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11.889,69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98451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11.889,69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75D94A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56.460,85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DB8C2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577,04%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45D241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224971">
              <w:rPr>
                <w:rFonts w:cs="Times New Roman"/>
                <w:b/>
                <w:bCs/>
                <w:lang w:val="hr-HR" w:eastAsia="hr-HR"/>
              </w:rPr>
              <w:t>474,87%</w:t>
            </w:r>
          </w:p>
        </w:tc>
      </w:tr>
      <w:tr w:rsidR="00224971" w:rsidRPr="00224971" w14:paraId="42BFC85B" w14:textId="77777777" w:rsidTr="00F676B8">
        <w:trPr>
          <w:trHeight w:val="54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36D22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721 Prihodi od prodaje građevinskih objekata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1E9EE6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9.082,52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2A69C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E8C54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DA74AB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42.214,85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A8B3B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464,79%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7C185F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224971" w:rsidRPr="00224971" w14:paraId="450C8B25" w14:textId="77777777" w:rsidTr="00F676B8">
        <w:trPr>
          <w:trHeight w:val="54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762EB6" w14:textId="77777777" w:rsidR="00224971" w:rsidRPr="00224971" w:rsidRDefault="00224971" w:rsidP="00224971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723 Prihodi od prodaje prijevoznih sredstava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EAEC4A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701,99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78323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EAEA8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AF2DCE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14.246,00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D42AD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2029,37%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3D704" w14:textId="77777777" w:rsidR="00224971" w:rsidRPr="00224971" w:rsidRDefault="00224971" w:rsidP="00224971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224971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</w:tbl>
    <w:p w14:paraId="6DEDDEFD" w14:textId="77777777" w:rsidR="000217C4" w:rsidRDefault="000217C4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47D1DEAC" w14:textId="77777777" w:rsidR="000217C4" w:rsidRPr="001C2019" w:rsidRDefault="000217C4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449413CA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lastRenderedPageBreak/>
        <w:t>Prihodi od poreza (konto 61)</w:t>
      </w:r>
    </w:p>
    <w:p w14:paraId="7FC80518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7786C52" w14:textId="0B76A70F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od poreza realizirani su u iznosu od </w:t>
      </w:r>
      <w:r w:rsidR="00224971">
        <w:rPr>
          <w:rFonts w:cs="Times New Roman"/>
          <w:color w:val="000000" w:themeColor="text1"/>
          <w:sz w:val="24"/>
          <w:szCs w:val="24"/>
          <w:lang w:val="hr-HR"/>
        </w:rPr>
        <w:t>10.111.843,92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 EUR ili s </w:t>
      </w:r>
      <w:r w:rsidR="00224971">
        <w:rPr>
          <w:rFonts w:cs="Times New Roman"/>
          <w:color w:val="000000" w:themeColor="text1"/>
          <w:sz w:val="24"/>
          <w:szCs w:val="24"/>
          <w:lang w:val="hr-HR"/>
        </w:rPr>
        <w:t>46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u odnosu na godišnji plan. U odnosu na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 xml:space="preserve"> isto izvještajno razdoblje u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202</w:t>
      </w:r>
      <w:r w:rsidR="00C55DF6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veći su za </w:t>
      </w:r>
      <w:r w:rsidR="00C55DF6">
        <w:rPr>
          <w:rFonts w:cs="Times New Roman"/>
          <w:color w:val="000000" w:themeColor="text1"/>
          <w:sz w:val="24"/>
          <w:szCs w:val="24"/>
          <w:lang w:val="hr-HR"/>
        </w:rPr>
        <w:t>752.439,20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C55DF6">
        <w:rPr>
          <w:rFonts w:cs="Times New Roman"/>
          <w:color w:val="000000" w:themeColor="text1"/>
          <w:sz w:val="24"/>
          <w:szCs w:val="24"/>
          <w:lang w:val="hr-HR"/>
        </w:rPr>
        <w:t>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%. U izvještajnom razdoblju ove godine evidentiran je povrat sredstava poreza i prireza na dohodak po godišnjoj prijavi u iznosu od </w:t>
      </w:r>
      <w:r w:rsidR="00C55DF6">
        <w:rPr>
          <w:rFonts w:cs="Times New Roman"/>
          <w:color w:val="000000" w:themeColor="text1"/>
          <w:sz w:val="24"/>
          <w:szCs w:val="24"/>
          <w:lang w:val="hr-HR"/>
        </w:rPr>
        <w:t>3.381.078,80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EUR.</w:t>
      </w:r>
    </w:p>
    <w:p w14:paraId="21E05058" w14:textId="55C200E8" w:rsidR="001C2019" w:rsidRPr="001C2019" w:rsidRDefault="001C2019">
      <w:pPr>
        <w:numPr>
          <w:ilvl w:val="0"/>
          <w:numId w:val="8"/>
        </w:numPr>
        <w:contextualSpacing/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611 Porez i prirez na dohodak – </w:t>
      </w:r>
      <w:r w:rsidR="00C55DF6">
        <w:rPr>
          <w:rFonts w:cs="Times New Roman"/>
          <w:color w:val="000000" w:themeColor="text1"/>
          <w:sz w:val="24"/>
          <w:szCs w:val="24"/>
          <w:u w:val="single"/>
          <w:lang w:val="hr-HR"/>
        </w:rPr>
        <w:t>9.394.543,24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35770F8B" w14:textId="2A548338" w:rsidR="001C2019" w:rsidRPr="001C2019" w:rsidRDefault="001C2019" w:rsidP="001C2019">
      <w:pPr>
        <w:ind w:left="720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Radi se o najznačajnijem poreznom prihodu Krapinsko-zagorske županije, od čega se na decentralizirana sredstva za sanaciju šteta od potresa odnosi </w:t>
      </w:r>
      <w:r w:rsidR="00C55DF6">
        <w:rPr>
          <w:rFonts w:cs="Times New Roman"/>
          <w:color w:val="000000" w:themeColor="text1"/>
          <w:sz w:val="24"/>
          <w:szCs w:val="24"/>
          <w:lang w:val="hr-HR"/>
        </w:rPr>
        <w:t>2.151.409,32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a </w:t>
      </w:r>
      <w:r w:rsidR="00C55DF6">
        <w:rPr>
          <w:rFonts w:cs="Times New Roman"/>
          <w:color w:val="000000" w:themeColor="text1"/>
          <w:sz w:val="24"/>
          <w:szCs w:val="24"/>
          <w:lang w:val="hr-HR"/>
        </w:rPr>
        <w:t>7.243.133,92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je vlastiti (izvorni) prihod Krapinsko-zagorske županije. </w:t>
      </w:r>
    </w:p>
    <w:p w14:paraId="339C1D97" w14:textId="677930A7" w:rsidR="001C2019" w:rsidRPr="001C2019" w:rsidRDefault="001C2019" w:rsidP="001C2019">
      <w:pPr>
        <w:ind w:left="720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B67AB5">
        <w:rPr>
          <w:rFonts w:cs="Times New Roman"/>
          <w:color w:val="000000" w:themeColor="text1"/>
          <w:sz w:val="24"/>
          <w:szCs w:val="24"/>
          <w:lang w:val="hr-HR"/>
        </w:rPr>
        <w:t>45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0727F862" w14:textId="6F4A72BF" w:rsidR="001C2019" w:rsidRPr="001C2019" w:rsidRDefault="001C2019">
      <w:pPr>
        <w:numPr>
          <w:ilvl w:val="0"/>
          <w:numId w:val="8"/>
        </w:numPr>
        <w:contextualSpacing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613 Porezi na imovinu – </w:t>
      </w:r>
      <w:r w:rsidR="00C55DF6">
        <w:rPr>
          <w:rFonts w:cs="Times New Roman"/>
          <w:color w:val="000000" w:themeColor="text1"/>
          <w:sz w:val="24"/>
          <w:szCs w:val="24"/>
          <w:u w:val="single"/>
          <w:lang w:val="hr-HR"/>
        </w:rPr>
        <w:t>37.745,01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237088DE" w14:textId="7F459711" w:rsidR="001C2019" w:rsidRPr="001C2019" w:rsidRDefault="001C2019" w:rsidP="001C2019">
      <w:pPr>
        <w:ind w:left="720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Porez na nasljedstva i darove realiziran je u iznosu od </w:t>
      </w:r>
      <w:r w:rsidR="00C55DF6">
        <w:rPr>
          <w:rFonts w:cs="Times New Roman"/>
          <w:color w:val="000000" w:themeColor="text1"/>
          <w:sz w:val="24"/>
          <w:szCs w:val="24"/>
          <w:lang w:val="hr-HR"/>
        </w:rPr>
        <w:t>37.708,98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C95874">
        <w:rPr>
          <w:rFonts w:cs="Times New Roman"/>
          <w:color w:val="000000" w:themeColor="text1"/>
          <w:sz w:val="24"/>
          <w:szCs w:val="24"/>
          <w:lang w:val="hr-HR"/>
        </w:rPr>
        <w:t>, dok je porez na nepokretnu imovinu realiziran u iznosu od 36,03 EUR.</w:t>
      </w:r>
    </w:p>
    <w:p w14:paraId="2F3F6825" w14:textId="5D9E041D" w:rsidR="001C2019" w:rsidRPr="001C2019" w:rsidRDefault="001C2019" w:rsidP="001C2019">
      <w:pPr>
        <w:ind w:left="720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C95874">
        <w:rPr>
          <w:rFonts w:cs="Times New Roman"/>
          <w:color w:val="000000" w:themeColor="text1"/>
          <w:sz w:val="24"/>
          <w:szCs w:val="24"/>
          <w:lang w:val="hr-HR"/>
        </w:rPr>
        <w:t>94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2E8B0F76" w14:textId="2FDE91B3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614 Porezi na robu i usluge – </w:t>
      </w:r>
      <w:r w:rsidR="00C95874">
        <w:rPr>
          <w:rFonts w:cs="Times New Roman"/>
          <w:color w:val="000000" w:themeColor="text1"/>
          <w:sz w:val="24"/>
          <w:szCs w:val="24"/>
          <w:u w:val="single"/>
          <w:lang w:val="hr-HR"/>
        </w:rPr>
        <w:t>679.555,67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27DCE84D" w14:textId="25B5A799" w:rsidR="001C2019" w:rsidRPr="001C2019" w:rsidRDefault="001C2019" w:rsidP="001C2019">
      <w:pPr>
        <w:ind w:left="714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Porez na cestovna motorna vozila realiziran je u iznosu od </w:t>
      </w:r>
      <w:r w:rsidR="00C95874">
        <w:rPr>
          <w:rFonts w:cs="Times New Roman"/>
          <w:color w:val="000000" w:themeColor="text1"/>
          <w:sz w:val="24"/>
          <w:szCs w:val="24"/>
          <w:lang w:val="hr-HR"/>
        </w:rPr>
        <w:t>675.900,14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C95874">
        <w:rPr>
          <w:rFonts w:cs="Times New Roman"/>
          <w:color w:val="000000" w:themeColor="text1"/>
          <w:sz w:val="24"/>
          <w:szCs w:val="24"/>
          <w:lang w:val="hr-HR"/>
        </w:rPr>
        <w:t>, dok je p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orez na dobitke od igara na sreću realiziran je u iznosu od </w:t>
      </w:r>
      <w:r w:rsidR="00C95874">
        <w:rPr>
          <w:rFonts w:cs="Times New Roman"/>
          <w:color w:val="000000" w:themeColor="text1"/>
          <w:sz w:val="24"/>
          <w:szCs w:val="24"/>
          <w:lang w:val="hr-HR"/>
        </w:rPr>
        <w:t>3.655,53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EUR.</w:t>
      </w:r>
    </w:p>
    <w:p w14:paraId="60C8A1EB" w14:textId="7B70ED1F" w:rsidR="001C2019" w:rsidRPr="001C2019" w:rsidRDefault="001C2019" w:rsidP="001C2019">
      <w:pPr>
        <w:ind w:left="714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C95874">
        <w:rPr>
          <w:rFonts w:cs="Times New Roman"/>
          <w:color w:val="000000" w:themeColor="text1"/>
          <w:sz w:val="24"/>
          <w:szCs w:val="24"/>
          <w:lang w:val="hr-HR"/>
        </w:rPr>
        <w:t>5</w:t>
      </w:r>
      <w:r w:rsidR="00AA006C">
        <w:rPr>
          <w:rFonts w:cs="Times New Roman"/>
          <w:color w:val="000000" w:themeColor="text1"/>
          <w:sz w:val="24"/>
          <w:szCs w:val="24"/>
          <w:lang w:val="hr-HR"/>
        </w:rPr>
        <w:t>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0BF8AD4F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5E1D699E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Pomoći iz inozemstva i od subjekata unutar općeg proračuna (konto 63) </w:t>
      </w:r>
    </w:p>
    <w:p w14:paraId="2969BBE6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585A36CD" w14:textId="4059E705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od pomoći iz inozemstva i od subjekata unutar općeg proračuna realizirani su u iznosu od </w:t>
      </w:r>
      <w:r w:rsidR="00C95874">
        <w:rPr>
          <w:rFonts w:cs="Times New Roman"/>
          <w:color w:val="000000" w:themeColor="text1"/>
          <w:sz w:val="24"/>
          <w:szCs w:val="24"/>
          <w:lang w:val="hr-HR"/>
        </w:rPr>
        <w:t>38.710.379,02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s </w:t>
      </w:r>
      <w:r w:rsidR="00C95874">
        <w:rPr>
          <w:rFonts w:cs="Times New Roman"/>
          <w:color w:val="000000" w:themeColor="text1"/>
          <w:sz w:val="24"/>
          <w:szCs w:val="24"/>
          <w:lang w:val="hr-HR"/>
        </w:rPr>
        <w:t>24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C95874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manji su za </w:t>
      </w:r>
      <w:r w:rsidR="00C95874">
        <w:rPr>
          <w:rFonts w:cs="Times New Roman"/>
          <w:color w:val="000000" w:themeColor="text1"/>
          <w:sz w:val="24"/>
          <w:szCs w:val="24"/>
          <w:lang w:val="hr-HR"/>
        </w:rPr>
        <w:t>17.105.642,55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C95874">
        <w:rPr>
          <w:rFonts w:cs="Times New Roman"/>
          <w:color w:val="000000" w:themeColor="text1"/>
          <w:sz w:val="24"/>
          <w:szCs w:val="24"/>
          <w:lang w:val="hr-HR"/>
        </w:rPr>
        <w:t>31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17F544EB" w14:textId="476AFCB6" w:rsidR="001C2019" w:rsidRPr="001C2019" w:rsidRDefault="001C2019" w:rsidP="001C2019">
      <w:pPr>
        <w:numPr>
          <w:ilvl w:val="0"/>
          <w:numId w:val="3"/>
        </w:numPr>
        <w:contextualSpacing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632 Pomoći od međunarodnih organizacija te institucija i tijela EU – </w:t>
      </w:r>
      <w:r w:rsidR="00C95874">
        <w:rPr>
          <w:rFonts w:cs="Times New Roman"/>
          <w:color w:val="000000" w:themeColor="text1"/>
          <w:sz w:val="24"/>
          <w:szCs w:val="24"/>
          <w:u w:val="single"/>
          <w:lang w:val="hr-HR"/>
        </w:rPr>
        <w:t>3.336,20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03BD5316" w14:textId="16BE6AB8" w:rsidR="000B3F4C" w:rsidRDefault="001C2019" w:rsidP="000B3F4C">
      <w:pPr>
        <w:ind w:left="720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 w:rsidR="00C95874">
        <w:rPr>
          <w:rFonts w:cs="Times New Roman"/>
          <w:color w:val="000000" w:themeColor="text1"/>
          <w:sz w:val="24"/>
          <w:szCs w:val="24"/>
          <w:lang w:val="hr-HR"/>
        </w:rPr>
        <w:t>3.336,20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</w:t>
      </w:r>
      <w:r w:rsidR="000B3F4C">
        <w:rPr>
          <w:rFonts w:cs="Times New Roman"/>
          <w:color w:val="000000" w:themeColor="text1"/>
          <w:sz w:val="24"/>
          <w:szCs w:val="24"/>
          <w:lang w:val="hr-HR"/>
        </w:rPr>
        <w:t>nos</w:t>
      </w:r>
      <w:r w:rsidR="00A821D3">
        <w:rPr>
          <w:rFonts w:cs="Times New Roman"/>
          <w:color w:val="000000" w:themeColor="text1"/>
          <w:sz w:val="24"/>
          <w:szCs w:val="24"/>
          <w:lang w:val="hr-HR"/>
        </w:rPr>
        <w:t>e</w:t>
      </w:r>
      <w:r w:rsidR="000B3F4C">
        <w:rPr>
          <w:rFonts w:cs="Times New Roman"/>
          <w:color w:val="000000" w:themeColor="text1"/>
          <w:sz w:val="24"/>
          <w:szCs w:val="24"/>
          <w:lang w:val="hr-HR"/>
        </w:rPr>
        <w:t xml:space="preserve"> se na Zagorsku razvojnu agenciju.</w:t>
      </w:r>
    </w:p>
    <w:p w14:paraId="789FD4EC" w14:textId="610F120E" w:rsidR="001C2019" w:rsidRPr="001C2019" w:rsidRDefault="001C2019" w:rsidP="000B3F4C">
      <w:pPr>
        <w:ind w:left="720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0B3F4C"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26B84A7C" w14:textId="2E72722D" w:rsidR="001C2019" w:rsidRPr="001C2019" w:rsidRDefault="001C2019">
      <w:pPr>
        <w:numPr>
          <w:ilvl w:val="0"/>
          <w:numId w:val="6"/>
        </w:num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633 Pomoći proračunu iz drugih proračuna – </w:t>
      </w:r>
      <w:r w:rsidR="000B3F4C">
        <w:rPr>
          <w:rFonts w:cs="Times New Roman"/>
          <w:color w:val="000000" w:themeColor="text1"/>
          <w:sz w:val="24"/>
          <w:szCs w:val="24"/>
          <w:u w:val="single"/>
          <w:lang w:val="hr-HR"/>
        </w:rPr>
        <w:t>2.476.203,32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070E4E7E" w14:textId="3AB1CCAE" w:rsidR="001C2019" w:rsidRPr="001C2019" w:rsidRDefault="001C2019" w:rsidP="001C2019">
      <w:pPr>
        <w:ind w:left="72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 w:rsidR="000B3F4C">
        <w:rPr>
          <w:rFonts w:cs="Times New Roman"/>
          <w:color w:val="000000" w:themeColor="text1"/>
          <w:sz w:val="24"/>
          <w:szCs w:val="24"/>
          <w:lang w:val="hr-HR"/>
        </w:rPr>
        <w:t>2.458.688,39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sljedeće: </w:t>
      </w:r>
    </w:p>
    <w:p w14:paraId="2754C137" w14:textId="77777777" w:rsidR="001C2019" w:rsidRPr="001C2019" w:rsidRDefault="001C2019" w:rsidP="000B3F4C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815"/>
        <w:gridCol w:w="2126"/>
      </w:tblGrid>
      <w:tr w:rsidR="000647CC" w:rsidRPr="001C2019" w14:paraId="0548597A" w14:textId="77777777" w:rsidTr="00064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tcW w:w="4815" w:type="dxa"/>
            <w:shd w:val="clear" w:color="auto" w:fill="D9D9D9" w:themeFill="background1" w:themeFillShade="D9"/>
          </w:tcPr>
          <w:p w14:paraId="3CB32E43" w14:textId="77777777" w:rsidR="000647CC" w:rsidRPr="001C2019" w:rsidRDefault="000647CC" w:rsidP="000647CC">
            <w:pPr>
              <w:jc w:val="left"/>
              <w:rPr>
                <w:rFonts w:cs="Times New Roman"/>
                <w:b w:val="0"/>
                <w:i/>
                <w:iCs/>
                <w:color w:val="000000" w:themeColor="text1"/>
                <w:lang w:val="hr-HR"/>
              </w:rPr>
            </w:pPr>
            <w:bookmarkStart w:id="0" w:name="_Hlk195083997"/>
            <w:r w:rsidRPr="001C2019">
              <w:rPr>
                <w:rFonts w:cs="Times New Roman"/>
                <w:i/>
                <w:iCs/>
                <w:color w:val="000000" w:themeColor="text1"/>
                <w:lang w:val="hr-HR"/>
              </w:rPr>
              <w:t>Izvor 1.1. Opći prihodi i primici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9852E26" w14:textId="2E563FAE" w:rsidR="000647CC" w:rsidRPr="001C2019" w:rsidRDefault="000647CC" w:rsidP="000647CC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597.252,50</w:t>
            </w:r>
          </w:p>
        </w:tc>
      </w:tr>
      <w:tr w:rsidR="001C2019" w:rsidRPr="001C2019" w14:paraId="41F07632" w14:textId="77777777" w:rsidTr="007D4D1F">
        <w:trPr>
          <w:jc w:val="center"/>
        </w:trPr>
        <w:tc>
          <w:tcPr>
            <w:tcW w:w="4815" w:type="dxa"/>
          </w:tcPr>
          <w:p w14:paraId="439D3F90" w14:textId="77777777" w:rsidR="001C2019" w:rsidRPr="001C2019" w:rsidRDefault="001C2019" w:rsidP="001C2019">
            <w:pPr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Financiranje preuzetnih djelatnika nekadašnjeg Ureda državne uprave</w:t>
            </w:r>
          </w:p>
        </w:tc>
        <w:tc>
          <w:tcPr>
            <w:tcW w:w="2126" w:type="dxa"/>
          </w:tcPr>
          <w:p w14:paraId="029C5188" w14:textId="161400CD" w:rsidR="001C2019" w:rsidRPr="001C2019" w:rsidRDefault="000B3F4C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597.252,50</w:t>
            </w:r>
          </w:p>
        </w:tc>
      </w:tr>
      <w:tr w:rsidR="001C2019" w:rsidRPr="001C2019" w14:paraId="2B8FEDAE" w14:textId="77777777" w:rsidTr="007D4D1F">
        <w:trPr>
          <w:jc w:val="center"/>
        </w:trPr>
        <w:tc>
          <w:tcPr>
            <w:tcW w:w="4815" w:type="dxa"/>
            <w:shd w:val="clear" w:color="auto" w:fill="D9D9D9" w:themeFill="background1" w:themeFillShade="D9"/>
          </w:tcPr>
          <w:p w14:paraId="40F320F3" w14:textId="77777777" w:rsidR="001C2019" w:rsidRPr="001C2019" w:rsidRDefault="001C2019" w:rsidP="001C2019">
            <w:pPr>
              <w:rPr>
                <w:rFonts w:cs="Times New Roman"/>
                <w:b/>
                <w:bCs/>
                <w:i/>
                <w:iCs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b/>
                <w:bCs/>
                <w:i/>
                <w:iCs/>
                <w:color w:val="000000" w:themeColor="text1"/>
                <w:lang w:val="hr-HR"/>
              </w:rPr>
              <w:t>Izvor 5.2. Ministarstvo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A43F161" w14:textId="73146C0E" w:rsidR="001C2019" w:rsidRPr="001C2019" w:rsidRDefault="000647CC" w:rsidP="001C2019">
            <w:pPr>
              <w:jc w:val="right"/>
              <w:rPr>
                <w:rFonts w:cs="Times New Roman"/>
                <w:b/>
                <w:bCs/>
                <w:color w:val="000000" w:themeColor="text1"/>
                <w:lang w:val="hr-HR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hr-HR"/>
              </w:rPr>
              <w:t>1.250.330,56</w:t>
            </w:r>
          </w:p>
        </w:tc>
      </w:tr>
      <w:tr w:rsidR="001C2019" w:rsidRPr="001C2019" w14:paraId="4254DF3A" w14:textId="77777777" w:rsidTr="007D4D1F">
        <w:trPr>
          <w:jc w:val="center"/>
        </w:trPr>
        <w:tc>
          <w:tcPr>
            <w:tcW w:w="4815" w:type="dxa"/>
          </w:tcPr>
          <w:p w14:paraId="33DF6D82" w14:textId="77777777" w:rsidR="001C2019" w:rsidRPr="001C2019" w:rsidRDefault="001C2019" w:rsidP="001C2019">
            <w:pPr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Regresiranje kamata poduzetnicima</w:t>
            </w:r>
          </w:p>
        </w:tc>
        <w:tc>
          <w:tcPr>
            <w:tcW w:w="2126" w:type="dxa"/>
          </w:tcPr>
          <w:p w14:paraId="1D78E779" w14:textId="4848C8E8" w:rsidR="001C2019" w:rsidRPr="001C2019" w:rsidRDefault="000B3F4C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33.747,34</w:t>
            </w:r>
          </w:p>
        </w:tc>
      </w:tr>
      <w:tr w:rsidR="001C2019" w:rsidRPr="001C2019" w14:paraId="732D791A" w14:textId="77777777" w:rsidTr="007D4D1F">
        <w:trPr>
          <w:jc w:val="center"/>
        </w:trPr>
        <w:tc>
          <w:tcPr>
            <w:tcW w:w="4815" w:type="dxa"/>
          </w:tcPr>
          <w:p w14:paraId="4D049ED8" w14:textId="77777777" w:rsidR="001C2019" w:rsidRPr="001C2019" w:rsidRDefault="001C2019" w:rsidP="001C2019">
            <w:pPr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Sufinanciranje prijevoza učenika srednjih škola</w:t>
            </w:r>
          </w:p>
        </w:tc>
        <w:tc>
          <w:tcPr>
            <w:tcW w:w="2126" w:type="dxa"/>
          </w:tcPr>
          <w:p w14:paraId="454E9817" w14:textId="2F34E7AC" w:rsidR="001C2019" w:rsidRPr="001C2019" w:rsidRDefault="000B3F4C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817.753,08</w:t>
            </w:r>
          </w:p>
        </w:tc>
      </w:tr>
      <w:tr w:rsidR="001C2019" w:rsidRPr="001C2019" w14:paraId="0A754250" w14:textId="77777777" w:rsidTr="007D4D1F">
        <w:trPr>
          <w:jc w:val="center"/>
        </w:trPr>
        <w:tc>
          <w:tcPr>
            <w:tcW w:w="4815" w:type="dxa"/>
          </w:tcPr>
          <w:p w14:paraId="328BD6FA" w14:textId="77777777" w:rsidR="001C2019" w:rsidRPr="001C2019" w:rsidRDefault="001C2019" w:rsidP="001C2019">
            <w:pPr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Predsjednički izbori</w:t>
            </w:r>
          </w:p>
        </w:tc>
        <w:tc>
          <w:tcPr>
            <w:tcW w:w="2126" w:type="dxa"/>
          </w:tcPr>
          <w:p w14:paraId="39C30A77" w14:textId="78FF6B95" w:rsidR="001C2019" w:rsidRPr="001C2019" w:rsidRDefault="000B3F4C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384.138,96</w:t>
            </w:r>
          </w:p>
        </w:tc>
      </w:tr>
      <w:tr w:rsidR="001C2019" w:rsidRPr="001C2019" w14:paraId="4288B493" w14:textId="77777777" w:rsidTr="007D4D1F">
        <w:trPr>
          <w:jc w:val="center"/>
        </w:trPr>
        <w:tc>
          <w:tcPr>
            <w:tcW w:w="4815" w:type="dxa"/>
          </w:tcPr>
          <w:p w14:paraId="1F3400B4" w14:textId="77777777" w:rsidR="001C2019" w:rsidRPr="001C2019" w:rsidRDefault="001C2019" w:rsidP="001C2019">
            <w:pPr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Hrvatski branitelji-troškovi pogreba</w:t>
            </w:r>
          </w:p>
        </w:tc>
        <w:tc>
          <w:tcPr>
            <w:tcW w:w="2126" w:type="dxa"/>
          </w:tcPr>
          <w:p w14:paraId="290BBE1A" w14:textId="0FB63568" w:rsidR="001C2019" w:rsidRPr="001C2019" w:rsidRDefault="000A4CFF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14.691,18</w:t>
            </w:r>
          </w:p>
        </w:tc>
      </w:tr>
      <w:tr w:rsidR="001C2019" w:rsidRPr="001C2019" w14:paraId="0606E477" w14:textId="77777777" w:rsidTr="007D4D1F">
        <w:trPr>
          <w:jc w:val="center"/>
        </w:trPr>
        <w:tc>
          <w:tcPr>
            <w:tcW w:w="4815" w:type="dxa"/>
            <w:shd w:val="clear" w:color="auto" w:fill="D9D9D9" w:themeFill="background1" w:themeFillShade="D9"/>
          </w:tcPr>
          <w:p w14:paraId="183725EF" w14:textId="77777777" w:rsidR="001C2019" w:rsidRPr="001C2019" w:rsidRDefault="001C2019" w:rsidP="001C2019">
            <w:pPr>
              <w:rPr>
                <w:rFonts w:cs="Times New Roman"/>
                <w:b/>
                <w:bCs/>
                <w:i/>
                <w:iCs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b/>
                <w:bCs/>
                <w:i/>
                <w:iCs/>
                <w:color w:val="000000" w:themeColor="text1"/>
                <w:lang w:val="hr-HR"/>
              </w:rPr>
              <w:t>Izvor 5.4. JLS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6B70350" w14:textId="718A83EF" w:rsidR="001C2019" w:rsidRPr="001C2019" w:rsidRDefault="000647CC" w:rsidP="001C2019">
            <w:pPr>
              <w:jc w:val="right"/>
              <w:rPr>
                <w:rFonts w:cs="Times New Roman"/>
                <w:b/>
                <w:bCs/>
                <w:color w:val="000000" w:themeColor="text1"/>
                <w:lang w:val="hr-HR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hr-HR"/>
              </w:rPr>
              <w:t>611.105,33</w:t>
            </w:r>
          </w:p>
        </w:tc>
      </w:tr>
      <w:tr w:rsidR="001C2019" w:rsidRPr="001C2019" w14:paraId="2801DF91" w14:textId="77777777" w:rsidTr="007D4D1F">
        <w:trPr>
          <w:jc w:val="center"/>
        </w:trPr>
        <w:tc>
          <w:tcPr>
            <w:tcW w:w="4815" w:type="dxa"/>
          </w:tcPr>
          <w:p w14:paraId="517758E2" w14:textId="77777777" w:rsidR="001C2019" w:rsidRPr="001C2019" w:rsidRDefault="001C2019" w:rsidP="001C2019">
            <w:pPr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Regresiranje kamata poduzetnicima (gradovi)</w:t>
            </w:r>
          </w:p>
        </w:tc>
        <w:tc>
          <w:tcPr>
            <w:tcW w:w="2126" w:type="dxa"/>
          </w:tcPr>
          <w:p w14:paraId="6A99C405" w14:textId="106FD911" w:rsidR="001C2019" w:rsidRPr="001C2019" w:rsidRDefault="000A4CFF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12.364,36</w:t>
            </w:r>
          </w:p>
        </w:tc>
      </w:tr>
      <w:tr w:rsidR="001C2019" w:rsidRPr="001C2019" w14:paraId="7C986057" w14:textId="77777777" w:rsidTr="007D4D1F">
        <w:trPr>
          <w:jc w:val="center"/>
        </w:trPr>
        <w:tc>
          <w:tcPr>
            <w:tcW w:w="4815" w:type="dxa"/>
          </w:tcPr>
          <w:p w14:paraId="6AEA78CB" w14:textId="77777777" w:rsidR="001C2019" w:rsidRPr="001C2019" w:rsidRDefault="001C2019" w:rsidP="001C2019">
            <w:pPr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Regresiranje kamata poduzetnicima (općine)</w:t>
            </w:r>
          </w:p>
        </w:tc>
        <w:tc>
          <w:tcPr>
            <w:tcW w:w="2126" w:type="dxa"/>
          </w:tcPr>
          <w:p w14:paraId="4028E9A6" w14:textId="0F2DAC38" w:rsidR="001C2019" w:rsidRPr="001C2019" w:rsidRDefault="000A4CFF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5.795,05</w:t>
            </w:r>
          </w:p>
        </w:tc>
      </w:tr>
      <w:tr w:rsidR="001C2019" w:rsidRPr="001C2019" w14:paraId="50156445" w14:textId="77777777" w:rsidTr="007D4D1F">
        <w:trPr>
          <w:jc w:val="center"/>
        </w:trPr>
        <w:tc>
          <w:tcPr>
            <w:tcW w:w="4815" w:type="dxa"/>
          </w:tcPr>
          <w:p w14:paraId="5CBF0876" w14:textId="77777777" w:rsidR="001C2019" w:rsidRPr="001C2019" w:rsidRDefault="001C2019" w:rsidP="001C2019">
            <w:pPr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Sigurnost u prometu (općine)</w:t>
            </w:r>
          </w:p>
        </w:tc>
        <w:tc>
          <w:tcPr>
            <w:tcW w:w="2126" w:type="dxa"/>
          </w:tcPr>
          <w:p w14:paraId="27B46F0F" w14:textId="19E448C2" w:rsidR="001C2019" w:rsidRPr="001C2019" w:rsidRDefault="000A4CFF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480,00</w:t>
            </w:r>
          </w:p>
        </w:tc>
      </w:tr>
      <w:tr w:rsidR="001C2019" w:rsidRPr="001C2019" w14:paraId="2EAC6B06" w14:textId="77777777" w:rsidTr="007D4D1F">
        <w:trPr>
          <w:jc w:val="center"/>
        </w:trPr>
        <w:tc>
          <w:tcPr>
            <w:tcW w:w="4815" w:type="dxa"/>
          </w:tcPr>
          <w:p w14:paraId="796978A0" w14:textId="77777777" w:rsidR="001C2019" w:rsidRPr="001C2019" w:rsidRDefault="001C2019" w:rsidP="001C2019">
            <w:pPr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Procjeniteljsko povjerenstvo – Grad Krapina</w:t>
            </w:r>
          </w:p>
        </w:tc>
        <w:tc>
          <w:tcPr>
            <w:tcW w:w="2126" w:type="dxa"/>
          </w:tcPr>
          <w:p w14:paraId="5E459686" w14:textId="1F6B2422" w:rsidR="001C2019" w:rsidRPr="001C2019" w:rsidRDefault="000A4CFF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1.353,00</w:t>
            </w:r>
          </w:p>
        </w:tc>
      </w:tr>
      <w:tr w:rsidR="001C2019" w:rsidRPr="001C2019" w14:paraId="5FFBFE24" w14:textId="77777777" w:rsidTr="007D4D1F">
        <w:trPr>
          <w:jc w:val="center"/>
        </w:trPr>
        <w:tc>
          <w:tcPr>
            <w:tcW w:w="4815" w:type="dxa"/>
          </w:tcPr>
          <w:p w14:paraId="27927E94" w14:textId="2859DB77" w:rsidR="001C2019" w:rsidRPr="001C2019" w:rsidRDefault="000A4CFF" w:rsidP="001C2019">
            <w:pPr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Izmjena prostornog plana</w:t>
            </w:r>
          </w:p>
        </w:tc>
        <w:tc>
          <w:tcPr>
            <w:tcW w:w="2126" w:type="dxa"/>
          </w:tcPr>
          <w:p w14:paraId="3A0EAC7D" w14:textId="78B07FC7" w:rsidR="001C2019" w:rsidRPr="001C2019" w:rsidRDefault="000A4CFF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5.076,65</w:t>
            </w:r>
          </w:p>
        </w:tc>
      </w:tr>
      <w:tr w:rsidR="000A4CFF" w:rsidRPr="001C2019" w14:paraId="53E237CA" w14:textId="77777777" w:rsidTr="007D4D1F">
        <w:trPr>
          <w:jc w:val="center"/>
        </w:trPr>
        <w:tc>
          <w:tcPr>
            <w:tcW w:w="4815" w:type="dxa"/>
          </w:tcPr>
          <w:p w14:paraId="652C7782" w14:textId="740CF6F4" w:rsidR="000A4CFF" w:rsidRDefault="000A4CFF" w:rsidP="001C2019">
            <w:pPr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Lokalni izbori</w:t>
            </w:r>
          </w:p>
        </w:tc>
        <w:tc>
          <w:tcPr>
            <w:tcW w:w="2126" w:type="dxa"/>
          </w:tcPr>
          <w:p w14:paraId="75F1AF62" w14:textId="6076B79C" w:rsidR="000A4CFF" w:rsidRDefault="000A4CFF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586.036,27</w:t>
            </w:r>
          </w:p>
        </w:tc>
      </w:tr>
      <w:bookmarkEnd w:id="0"/>
    </w:tbl>
    <w:p w14:paraId="615196E6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23309CE6" w14:textId="530594D2" w:rsidR="000647CC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 w:rsidR="000647CC">
        <w:rPr>
          <w:rFonts w:cs="Times New Roman"/>
          <w:color w:val="000000" w:themeColor="text1"/>
          <w:sz w:val="24"/>
          <w:szCs w:val="24"/>
          <w:lang w:val="hr-HR"/>
        </w:rPr>
        <w:t>17.514,93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tekuće pomoći iz državnog, gradskih i općinskih proračuna </w:t>
      </w:r>
      <w:r w:rsidR="008E7B39">
        <w:rPr>
          <w:rFonts w:cs="Times New Roman"/>
          <w:color w:val="000000" w:themeColor="text1"/>
          <w:sz w:val="24"/>
          <w:szCs w:val="24"/>
          <w:lang w:val="hr-HR"/>
        </w:rPr>
        <w:t>(OŠ Lobor – 1.020,00 EUR, SŠ Zabok – 7.359,68 EUR, ŠUDIGO – 800,00 EUR, Gimnazija Zabok – 5.972,39 EUR</w:t>
      </w:r>
      <w:r w:rsidR="00407AB3">
        <w:rPr>
          <w:rFonts w:cs="Times New Roman"/>
          <w:color w:val="000000" w:themeColor="text1"/>
          <w:sz w:val="24"/>
          <w:szCs w:val="24"/>
          <w:lang w:val="hr-HR"/>
        </w:rPr>
        <w:t>, OŠ Mihovljan – 2.362,86 EUR</w:t>
      </w:r>
      <w:r w:rsidR="008E7B39">
        <w:rPr>
          <w:rFonts w:cs="Times New Roman"/>
          <w:color w:val="000000" w:themeColor="text1"/>
          <w:sz w:val="24"/>
          <w:szCs w:val="24"/>
          <w:lang w:val="hr-HR"/>
        </w:rPr>
        <w:t>).</w:t>
      </w:r>
    </w:p>
    <w:p w14:paraId="124FAE26" w14:textId="60818287" w:rsidR="001C2019" w:rsidRPr="001C2019" w:rsidRDefault="001C2019" w:rsidP="001C2019">
      <w:pPr>
        <w:ind w:left="72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8E7B39">
        <w:rPr>
          <w:rFonts w:cs="Times New Roman"/>
          <w:color w:val="000000" w:themeColor="text1"/>
          <w:sz w:val="24"/>
          <w:szCs w:val="24"/>
          <w:lang w:val="hr-HR"/>
        </w:rPr>
        <w:t>16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15D89CDB" w14:textId="27B70361" w:rsidR="001C2019" w:rsidRPr="001C2019" w:rsidRDefault="001C2019" w:rsidP="001C2019">
      <w:pPr>
        <w:numPr>
          <w:ilvl w:val="0"/>
          <w:numId w:val="3"/>
        </w:numPr>
        <w:contextualSpacing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634 Pomoći od izvanproračunskih korisnika – </w:t>
      </w:r>
      <w:r w:rsidR="00523C3C">
        <w:rPr>
          <w:rFonts w:cs="Times New Roman"/>
          <w:color w:val="000000" w:themeColor="text1"/>
          <w:sz w:val="24"/>
          <w:szCs w:val="24"/>
          <w:u w:val="single"/>
          <w:lang w:val="hr-HR"/>
        </w:rPr>
        <w:t>137.073,09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3206481D" w14:textId="4D2F8BCA" w:rsidR="001C2019" w:rsidRPr="001C2019" w:rsidRDefault="001C2019" w:rsidP="001C2019">
      <w:pPr>
        <w:ind w:left="72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 w:rsidR="00523C3C">
        <w:rPr>
          <w:rFonts w:cs="Times New Roman"/>
          <w:color w:val="000000" w:themeColor="text1"/>
          <w:sz w:val="24"/>
          <w:szCs w:val="24"/>
          <w:lang w:val="hr-HR"/>
        </w:rPr>
        <w:t>33.060,13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</w:t>
      </w:r>
      <w:r w:rsidR="00523C3C">
        <w:rPr>
          <w:rFonts w:cs="Times New Roman"/>
          <w:color w:val="000000" w:themeColor="text1"/>
          <w:sz w:val="24"/>
          <w:szCs w:val="24"/>
          <w:lang w:val="hr-HR"/>
        </w:rPr>
        <w:t>tekuće pomoći Fonda za zaštitu okoliša i energetsku učinkovitost.</w:t>
      </w:r>
    </w:p>
    <w:p w14:paraId="16BC8569" w14:textId="7C37A9EB" w:rsidR="00523C3C" w:rsidRDefault="001C2019" w:rsidP="001C2019">
      <w:pPr>
        <w:ind w:left="72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od </w:t>
      </w:r>
      <w:r w:rsidR="00523C3C">
        <w:rPr>
          <w:rFonts w:cs="Times New Roman"/>
          <w:color w:val="000000" w:themeColor="text1"/>
          <w:sz w:val="24"/>
          <w:szCs w:val="24"/>
          <w:lang w:val="hr-HR"/>
        </w:rPr>
        <w:t>104.012,96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</w:t>
      </w:r>
      <w:r w:rsidR="008E4F54">
        <w:rPr>
          <w:rFonts w:cs="Times New Roman"/>
          <w:color w:val="000000" w:themeColor="text1"/>
          <w:sz w:val="24"/>
          <w:szCs w:val="24"/>
          <w:lang w:val="hr-HR"/>
        </w:rPr>
        <w:t>sljedeće: Dom zdravlja Krapinsko-zagorske županije – 22.351,28 EUR, Zavod za javno zdravstvo – 15.087,68 EUR, OŠ Zabok – 66.574,00 EUR</w:t>
      </w:r>
      <w:r w:rsidR="006934F2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1E531844" w14:textId="3D8811BE" w:rsidR="001C2019" w:rsidRPr="001C2019" w:rsidRDefault="001C2019" w:rsidP="001C2019">
      <w:pPr>
        <w:ind w:left="72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6934F2">
        <w:rPr>
          <w:rFonts w:cs="Times New Roman"/>
          <w:color w:val="000000" w:themeColor="text1"/>
          <w:sz w:val="24"/>
          <w:szCs w:val="24"/>
          <w:lang w:val="hr-HR"/>
        </w:rPr>
        <w:t>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74D6B73A" w14:textId="3BF81DF5" w:rsidR="001C2019" w:rsidRPr="001C2019" w:rsidRDefault="001C2019" w:rsidP="001C2019">
      <w:pPr>
        <w:numPr>
          <w:ilvl w:val="0"/>
          <w:numId w:val="3"/>
        </w:numPr>
        <w:contextualSpacing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635 Pomoći izravnanja za decentralizirane funkcije – </w:t>
      </w:r>
      <w:r w:rsidR="006934F2">
        <w:rPr>
          <w:rFonts w:cs="Times New Roman"/>
          <w:color w:val="000000" w:themeColor="text1"/>
          <w:sz w:val="24"/>
          <w:szCs w:val="24"/>
          <w:u w:val="single"/>
          <w:lang w:val="hr-HR"/>
        </w:rPr>
        <w:t>3.527.297,78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6C4013B2" w14:textId="0EA79023" w:rsidR="001C2019" w:rsidRPr="001C2019" w:rsidRDefault="001C2019" w:rsidP="001C2019">
      <w:pPr>
        <w:ind w:left="720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se odnose na županijski proračun, a uključuju sljedeće: </w:t>
      </w:r>
      <w:r w:rsidR="006934F2">
        <w:rPr>
          <w:rFonts w:cs="Times New Roman"/>
          <w:color w:val="000000" w:themeColor="text1"/>
          <w:sz w:val="24"/>
          <w:szCs w:val="24"/>
          <w:lang w:val="hr-HR"/>
        </w:rPr>
        <w:t>2.011.036,02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- decentralizirane funkcije osnovnog školstva, </w:t>
      </w:r>
      <w:r w:rsidR="006934F2">
        <w:rPr>
          <w:rFonts w:cs="Times New Roman"/>
          <w:color w:val="000000" w:themeColor="text1"/>
          <w:sz w:val="24"/>
          <w:szCs w:val="24"/>
          <w:lang w:val="hr-HR"/>
        </w:rPr>
        <w:t>1.021.332,48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- decentralizirane funkcije srednjeg školstva, </w:t>
      </w:r>
      <w:r w:rsidR="006934F2">
        <w:rPr>
          <w:rFonts w:cs="Times New Roman"/>
          <w:color w:val="000000" w:themeColor="text1"/>
          <w:sz w:val="24"/>
          <w:szCs w:val="24"/>
          <w:lang w:val="hr-HR"/>
        </w:rPr>
        <w:t>384.824,84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- decentralizirane funkcije u zdravstvu</w:t>
      </w:r>
      <w:r w:rsidR="006934F2">
        <w:rPr>
          <w:rFonts w:cs="Times New Roman"/>
          <w:color w:val="000000" w:themeColor="text1"/>
          <w:sz w:val="24"/>
          <w:szCs w:val="24"/>
          <w:lang w:val="hr-HR"/>
        </w:rPr>
        <w:t>, 110.104,44 EUR – pomoći fiskalnog izravnanja.</w:t>
      </w:r>
    </w:p>
    <w:p w14:paraId="71407598" w14:textId="29E8A303" w:rsidR="001C2019" w:rsidRPr="001C2019" w:rsidRDefault="001C2019" w:rsidP="001C2019">
      <w:pPr>
        <w:ind w:left="720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6934F2">
        <w:rPr>
          <w:rFonts w:cs="Times New Roman"/>
          <w:color w:val="000000" w:themeColor="text1"/>
          <w:sz w:val="24"/>
          <w:szCs w:val="24"/>
          <w:lang w:val="hr-HR"/>
        </w:rPr>
        <w:t>43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50EC31A4" w14:textId="3715193C" w:rsidR="001C2019" w:rsidRPr="001C2019" w:rsidRDefault="001C2019" w:rsidP="001C2019">
      <w:pPr>
        <w:numPr>
          <w:ilvl w:val="0"/>
          <w:numId w:val="3"/>
        </w:numPr>
        <w:contextualSpacing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636 Pomoći proračunskim korisnicima iz proračuna koji im nije nadležan – </w:t>
      </w:r>
      <w:r w:rsidR="006934F2">
        <w:rPr>
          <w:rFonts w:cs="Times New Roman"/>
          <w:color w:val="000000" w:themeColor="text1"/>
          <w:sz w:val="24"/>
          <w:szCs w:val="24"/>
          <w:u w:val="single"/>
          <w:lang w:val="hr-HR"/>
        </w:rPr>
        <w:t>29.882.066,45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1039504D" w14:textId="0959135E" w:rsidR="001C2019" w:rsidRPr="001C2019" w:rsidRDefault="001C2019" w:rsidP="001C2019">
      <w:pPr>
        <w:ind w:left="720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se odnose na proračunske korisnike, a uključuju tekuće i kapitalne pomoći iz državnog proračuna i proračuna JLP(R)S. Pomoći proračunskih korisnika u školstvu iznose </w:t>
      </w:r>
      <w:r w:rsidR="00BC2E77">
        <w:rPr>
          <w:rFonts w:cs="Times New Roman"/>
          <w:color w:val="000000" w:themeColor="text1"/>
          <w:sz w:val="24"/>
          <w:szCs w:val="24"/>
          <w:lang w:val="hr-HR"/>
        </w:rPr>
        <w:t>28.847.677,24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dok pomoći zdravstvenih ustanova iznose </w:t>
      </w:r>
      <w:r w:rsidR="00BC2E77">
        <w:rPr>
          <w:rFonts w:cs="Times New Roman"/>
          <w:color w:val="000000" w:themeColor="text1"/>
          <w:sz w:val="24"/>
          <w:szCs w:val="24"/>
          <w:lang w:val="hr-HR"/>
        </w:rPr>
        <w:t>968.418,59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EUR. Pomoći koje se odnose na Dom za žrtve nasilja u obitelji NOVI POČETAK iznose </w:t>
      </w:r>
      <w:r w:rsidR="00BC2E77">
        <w:rPr>
          <w:rFonts w:cs="Times New Roman"/>
          <w:color w:val="000000" w:themeColor="text1"/>
          <w:sz w:val="24"/>
          <w:szCs w:val="24"/>
          <w:lang w:val="hr-HR"/>
        </w:rPr>
        <w:t>65.970,62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BC2E77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01CA46C9" w14:textId="6C0CBFC6" w:rsidR="001C2019" w:rsidRPr="001C2019" w:rsidRDefault="001C2019" w:rsidP="001C2019">
      <w:pPr>
        <w:ind w:left="720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BC2E77">
        <w:rPr>
          <w:rFonts w:cs="Times New Roman"/>
          <w:color w:val="000000" w:themeColor="text1"/>
          <w:sz w:val="24"/>
          <w:szCs w:val="24"/>
          <w:lang w:val="hr-HR"/>
        </w:rPr>
        <w:t>35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480A31F6" w14:textId="60C6F5D6" w:rsidR="001C2019" w:rsidRPr="001C2019" w:rsidRDefault="001C2019">
      <w:pPr>
        <w:numPr>
          <w:ilvl w:val="0"/>
          <w:numId w:val="7"/>
        </w:num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638 Pomoći temeljem prijenosa EU sredstava – </w:t>
      </w:r>
      <w:r w:rsidR="00BC2E77">
        <w:rPr>
          <w:rFonts w:cs="Times New Roman"/>
          <w:color w:val="000000" w:themeColor="text1"/>
          <w:sz w:val="24"/>
          <w:szCs w:val="24"/>
          <w:u w:val="single"/>
          <w:lang w:val="hr-HR"/>
        </w:rPr>
        <w:t>2.473.151,12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4A2B72E6" w14:textId="250A316F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 w:rsidR="00BC2E77">
        <w:rPr>
          <w:rFonts w:cs="Times New Roman"/>
          <w:color w:val="000000" w:themeColor="text1"/>
          <w:sz w:val="24"/>
          <w:szCs w:val="24"/>
          <w:lang w:val="hr-HR"/>
        </w:rPr>
        <w:t xml:space="preserve">602.251,71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EUR odnose se na županijski proračun, a uključuju sljedeće: </w:t>
      </w:r>
    </w:p>
    <w:p w14:paraId="7FE3CBCD" w14:textId="77777777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957"/>
        <w:gridCol w:w="1984"/>
      </w:tblGrid>
      <w:tr w:rsidR="00685FDA" w:rsidRPr="001C2019" w14:paraId="0093D64F" w14:textId="77777777" w:rsidTr="00685F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tcW w:w="4957" w:type="dxa"/>
            <w:shd w:val="clear" w:color="auto" w:fill="D9D9D9" w:themeFill="background1" w:themeFillShade="D9"/>
          </w:tcPr>
          <w:p w14:paraId="007C3173" w14:textId="77777777" w:rsidR="00685FDA" w:rsidRPr="001C2019" w:rsidRDefault="00685FDA" w:rsidP="00685FDA">
            <w:pPr>
              <w:jc w:val="left"/>
              <w:rPr>
                <w:rFonts w:cs="Times New Roman"/>
                <w:b w:val="0"/>
                <w:i/>
                <w:iCs/>
                <w:color w:val="000000" w:themeColor="text1"/>
                <w:lang w:val="hr-HR"/>
              </w:rPr>
            </w:pPr>
            <w:bookmarkStart w:id="1" w:name="_Hlk197512863"/>
            <w:r w:rsidRPr="001C2019">
              <w:rPr>
                <w:rFonts w:cs="Times New Roman"/>
                <w:i/>
                <w:iCs/>
                <w:color w:val="000000" w:themeColor="text1"/>
                <w:lang w:val="hr-HR"/>
              </w:rPr>
              <w:t>Izvor 5.7. Ministarstvo – prijenos EU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610E670A" w14:textId="2DC3990B" w:rsidR="00685FDA" w:rsidRPr="001C2019" w:rsidRDefault="00685FDA" w:rsidP="00685FDA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 w:rsidRPr="00685FDA">
              <w:rPr>
                <w:rFonts w:cs="Times New Roman"/>
                <w:color w:val="000000" w:themeColor="text1"/>
                <w:lang w:val="hr-HR"/>
              </w:rPr>
              <w:t>602.251,71</w:t>
            </w:r>
          </w:p>
        </w:tc>
      </w:tr>
      <w:tr w:rsidR="001C2019" w:rsidRPr="001C2019" w14:paraId="62E0BB46" w14:textId="77777777" w:rsidTr="007D4D1F">
        <w:trPr>
          <w:jc w:val="center"/>
        </w:trPr>
        <w:tc>
          <w:tcPr>
            <w:tcW w:w="4957" w:type="dxa"/>
          </w:tcPr>
          <w:p w14:paraId="3870F145" w14:textId="3386BB83" w:rsidR="001C2019" w:rsidRPr="001C2019" w:rsidRDefault="001C2019" w:rsidP="001C2019">
            <w:pPr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 xml:space="preserve">Školska shema </w:t>
            </w:r>
            <w:r w:rsidR="00BC2E77">
              <w:rPr>
                <w:rFonts w:cs="Times New Roman"/>
                <w:color w:val="000000" w:themeColor="text1"/>
                <w:lang w:val="hr-HR"/>
              </w:rPr>
              <w:t>7</w:t>
            </w:r>
          </w:p>
        </w:tc>
        <w:tc>
          <w:tcPr>
            <w:tcW w:w="1984" w:type="dxa"/>
          </w:tcPr>
          <w:p w14:paraId="5FE4AD7F" w14:textId="22547EC3" w:rsidR="001C2019" w:rsidRPr="001C2019" w:rsidRDefault="00BC2E77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19.346,98</w:t>
            </w:r>
          </w:p>
        </w:tc>
      </w:tr>
      <w:tr w:rsidR="001C2019" w:rsidRPr="001C2019" w14:paraId="37E3734B" w14:textId="77777777" w:rsidTr="007D4D1F">
        <w:trPr>
          <w:jc w:val="center"/>
        </w:trPr>
        <w:tc>
          <w:tcPr>
            <w:tcW w:w="4957" w:type="dxa"/>
          </w:tcPr>
          <w:p w14:paraId="627D59F9" w14:textId="77777777" w:rsidR="001C2019" w:rsidRPr="001C2019" w:rsidRDefault="001C2019" w:rsidP="001C2019">
            <w:pPr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Socijalni plan</w:t>
            </w:r>
          </w:p>
        </w:tc>
        <w:tc>
          <w:tcPr>
            <w:tcW w:w="1984" w:type="dxa"/>
          </w:tcPr>
          <w:p w14:paraId="7DF194B9" w14:textId="1B8DB130" w:rsidR="001C2019" w:rsidRPr="001C2019" w:rsidRDefault="00BC2E77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49.599,14</w:t>
            </w:r>
          </w:p>
        </w:tc>
      </w:tr>
      <w:tr w:rsidR="00BC2E77" w:rsidRPr="001C2019" w14:paraId="0E344D6A" w14:textId="77777777" w:rsidTr="007D4D1F">
        <w:trPr>
          <w:jc w:val="center"/>
        </w:trPr>
        <w:tc>
          <w:tcPr>
            <w:tcW w:w="4957" w:type="dxa"/>
          </w:tcPr>
          <w:p w14:paraId="12B78567" w14:textId="01FAA7A6" w:rsidR="00BC2E77" w:rsidRPr="001C2019" w:rsidRDefault="00BC2E77" w:rsidP="001C2019">
            <w:pPr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NPOO Dogradnja, izgradnja i rekonstrukcija škola</w:t>
            </w:r>
          </w:p>
        </w:tc>
        <w:tc>
          <w:tcPr>
            <w:tcW w:w="1984" w:type="dxa"/>
          </w:tcPr>
          <w:p w14:paraId="25858461" w14:textId="2AAF5C6E" w:rsidR="00BC2E77" w:rsidRDefault="00BC2E77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123.820,00</w:t>
            </w:r>
          </w:p>
        </w:tc>
      </w:tr>
      <w:tr w:rsidR="001C2019" w:rsidRPr="001C2019" w14:paraId="628B42A6" w14:textId="77777777" w:rsidTr="007D4D1F">
        <w:trPr>
          <w:jc w:val="center"/>
        </w:trPr>
        <w:tc>
          <w:tcPr>
            <w:tcW w:w="4957" w:type="dxa"/>
          </w:tcPr>
          <w:p w14:paraId="03515D9C" w14:textId="77777777" w:rsidR="001C2019" w:rsidRPr="001C2019" w:rsidRDefault="001C2019" w:rsidP="001C2019">
            <w:pPr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 xml:space="preserve">Obnova od potresa-Dvorac Stubički </w:t>
            </w:r>
            <w:proofErr w:type="spellStart"/>
            <w:r w:rsidRPr="001C2019">
              <w:rPr>
                <w:rFonts w:cs="Times New Roman"/>
                <w:color w:val="000000" w:themeColor="text1"/>
                <w:lang w:val="hr-HR"/>
              </w:rPr>
              <w:t>Golubovec</w:t>
            </w:r>
            <w:proofErr w:type="spellEnd"/>
          </w:p>
        </w:tc>
        <w:tc>
          <w:tcPr>
            <w:tcW w:w="1984" w:type="dxa"/>
          </w:tcPr>
          <w:p w14:paraId="6380E2D7" w14:textId="54894628" w:rsidR="001C2019" w:rsidRPr="001C2019" w:rsidRDefault="00BC2E77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285.572,55</w:t>
            </w:r>
          </w:p>
        </w:tc>
      </w:tr>
      <w:tr w:rsidR="001C2019" w:rsidRPr="001C2019" w14:paraId="33741133" w14:textId="77777777" w:rsidTr="007D4D1F">
        <w:trPr>
          <w:jc w:val="center"/>
        </w:trPr>
        <w:tc>
          <w:tcPr>
            <w:tcW w:w="4957" w:type="dxa"/>
          </w:tcPr>
          <w:p w14:paraId="1388C468" w14:textId="77777777" w:rsidR="001C2019" w:rsidRPr="001C2019" w:rsidRDefault="001C2019" w:rsidP="001C2019">
            <w:pPr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Centar za odgoj i obrazovanje Krapinske Toplice</w:t>
            </w:r>
          </w:p>
        </w:tc>
        <w:tc>
          <w:tcPr>
            <w:tcW w:w="1984" w:type="dxa"/>
          </w:tcPr>
          <w:p w14:paraId="00E3850E" w14:textId="23D86FFD" w:rsidR="001C2019" w:rsidRPr="001C2019" w:rsidRDefault="00BC2E77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121.248,04</w:t>
            </w:r>
          </w:p>
        </w:tc>
      </w:tr>
      <w:tr w:rsidR="001C2019" w:rsidRPr="001C2019" w14:paraId="1A112ECC" w14:textId="77777777" w:rsidTr="007D4D1F">
        <w:trPr>
          <w:jc w:val="center"/>
        </w:trPr>
        <w:tc>
          <w:tcPr>
            <w:tcW w:w="4957" w:type="dxa"/>
          </w:tcPr>
          <w:p w14:paraId="4C03A3A8" w14:textId="77777777" w:rsidR="001C2019" w:rsidRPr="001C2019" w:rsidRDefault="001C2019" w:rsidP="001C2019">
            <w:pPr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OŠ Mače-cjelodnevna nastava</w:t>
            </w:r>
          </w:p>
        </w:tc>
        <w:tc>
          <w:tcPr>
            <w:tcW w:w="1984" w:type="dxa"/>
          </w:tcPr>
          <w:p w14:paraId="42AA4B22" w14:textId="782692AD" w:rsidR="001C2019" w:rsidRPr="001C2019" w:rsidRDefault="00BC2E77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2.665,00</w:t>
            </w:r>
          </w:p>
        </w:tc>
      </w:tr>
      <w:bookmarkEnd w:id="1"/>
    </w:tbl>
    <w:p w14:paraId="203CFA9D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5E671CD8" w14:textId="1F458CFC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 w:rsidR="00B708F1">
        <w:rPr>
          <w:rFonts w:cs="Times New Roman"/>
          <w:color w:val="000000" w:themeColor="text1"/>
          <w:sz w:val="24"/>
          <w:szCs w:val="24"/>
          <w:lang w:val="hr-HR"/>
        </w:rPr>
        <w:t>1.870.899,41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tekuće i kapitalne pomoći iz državnog proračuna temeljem prijenosa EU sredstava. Pomoći proračunskih korisnika u školstvu iznose </w:t>
      </w:r>
      <w:r w:rsidR="004732D6">
        <w:rPr>
          <w:rFonts w:cs="Times New Roman"/>
          <w:color w:val="000000" w:themeColor="text1"/>
          <w:sz w:val="24"/>
          <w:szCs w:val="24"/>
          <w:lang w:val="hr-HR"/>
        </w:rPr>
        <w:t>457.295,54 EUR</w:t>
      </w:r>
      <w:r w:rsidR="00EE348A">
        <w:rPr>
          <w:rFonts w:cs="Times New Roman"/>
          <w:color w:val="000000" w:themeColor="text1"/>
          <w:sz w:val="24"/>
          <w:szCs w:val="24"/>
          <w:lang w:val="hr-HR"/>
        </w:rPr>
        <w:t>, dok p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omoći zdravstvenih ustanova iznose </w:t>
      </w:r>
      <w:r w:rsidR="004732D6">
        <w:rPr>
          <w:rFonts w:cs="Times New Roman"/>
          <w:color w:val="000000" w:themeColor="text1"/>
          <w:sz w:val="24"/>
          <w:szCs w:val="24"/>
          <w:lang w:val="hr-HR"/>
        </w:rPr>
        <w:t>1.265.316,47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(Dom zdravlja KZŽ – </w:t>
      </w:r>
      <w:r w:rsidR="004732D6">
        <w:rPr>
          <w:rFonts w:cs="Times New Roman"/>
          <w:color w:val="000000" w:themeColor="text1"/>
          <w:sz w:val="24"/>
          <w:szCs w:val="24"/>
          <w:lang w:val="hr-HR"/>
        </w:rPr>
        <w:t>137.526,05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SB Stubičke toplice – </w:t>
      </w:r>
      <w:r w:rsidR="004732D6">
        <w:rPr>
          <w:rFonts w:cs="Times New Roman"/>
          <w:color w:val="000000" w:themeColor="text1"/>
          <w:sz w:val="24"/>
          <w:szCs w:val="24"/>
          <w:lang w:val="hr-HR"/>
        </w:rPr>
        <w:t>944.663,91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Zavod za javno zdravstvo KZŽ – </w:t>
      </w:r>
      <w:r w:rsidR="004732D6">
        <w:rPr>
          <w:rFonts w:cs="Times New Roman"/>
          <w:color w:val="000000" w:themeColor="text1"/>
          <w:sz w:val="24"/>
          <w:szCs w:val="24"/>
          <w:lang w:val="hr-HR"/>
        </w:rPr>
        <w:t>49.486,68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</w:t>
      </w:r>
      <w:r w:rsidR="004732D6">
        <w:rPr>
          <w:rFonts w:cs="Times New Roman"/>
          <w:color w:val="000000" w:themeColor="text1"/>
          <w:sz w:val="24"/>
          <w:szCs w:val="24"/>
          <w:lang w:val="hr-HR"/>
        </w:rPr>
        <w:t>Z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avod za hitnu medicinu KZŽ – </w:t>
      </w:r>
      <w:r w:rsidR="004732D6">
        <w:rPr>
          <w:rFonts w:cs="Times New Roman"/>
          <w:color w:val="000000" w:themeColor="text1"/>
          <w:sz w:val="24"/>
          <w:szCs w:val="24"/>
          <w:lang w:val="hr-HR"/>
        </w:rPr>
        <w:t>133.639,83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EUR). Pomoći Zagorskoj razvojnoj agenciji iznose </w:t>
      </w:r>
      <w:r w:rsidR="004732D6">
        <w:rPr>
          <w:rFonts w:cs="Times New Roman"/>
          <w:color w:val="000000" w:themeColor="text1"/>
          <w:sz w:val="24"/>
          <w:szCs w:val="24"/>
          <w:lang w:val="hr-HR"/>
        </w:rPr>
        <w:t>148.287,40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EUR.</w:t>
      </w:r>
    </w:p>
    <w:p w14:paraId="34CA7312" w14:textId="0786B992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4732D6">
        <w:rPr>
          <w:rFonts w:cs="Times New Roman"/>
          <w:color w:val="000000" w:themeColor="text1"/>
          <w:sz w:val="24"/>
          <w:szCs w:val="24"/>
          <w:lang w:val="hr-HR"/>
        </w:rPr>
        <w:t>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55AD42E5" w14:textId="01B4C6DB" w:rsidR="001C2019" w:rsidRPr="001C2019" w:rsidRDefault="001C2019">
      <w:pPr>
        <w:numPr>
          <w:ilvl w:val="0"/>
          <w:numId w:val="7"/>
        </w:num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639 Prijenosi između proračunskih korisnika istog proračuna – </w:t>
      </w:r>
      <w:r w:rsidR="004732D6">
        <w:rPr>
          <w:rFonts w:cs="Times New Roman"/>
          <w:color w:val="000000" w:themeColor="text1"/>
          <w:sz w:val="24"/>
          <w:szCs w:val="24"/>
          <w:u w:val="single"/>
          <w:lang w:val="hr-HR"/>
        </w:rPr>
        <w:t>211.251,06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72EC1E5C" w14:textId="05E9E853" w:rsidR="001C2019" w:rsidRPr="001C2019" w:rsidRDefault="001C2019" w:rsidP="001C2019">
      <w:pPr>
        <w:ind w:left="720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lastRenderedPageBreak/>
        <w:t xml:space="preserve">Prijenosi se odnose na </w:t>
      </w:r>
      <w:r w:rsidR="00EE348A">
        <w:rPr>
          <w:rFonts w:cs="Times New Roman"/>
          <w:color w:val="000000" w:themeColor="text1"/>
          <w:sz w:val="24"/>
          <w:szCs w:val="24"/>
          <w:lang w:val="hr-HR"/>
        </w:rPr>
        <w:t>županijski proračun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, a uključuju povrat sredstava poreza na dohodak iz decentraliziranih funkcija </w:t>
      </w:r>
      <w:r w:rsidR="00EE348A">
        <w:rPr>
          <w:rFonts w:cs="Times New Roman"/>
          <w:color w:val="000000" w:themeColor="text1"/>
          <w:sz w:val="24"/>
          <w:szCs w:val="24"/>
          <w:lang w:val="hr-HR"/>
        </w:rPr>
        <w:t xml:space="preserve">prenamijenjene za potres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koja su bila namijenjena za premošćivanje jaza nastalog zbog različite dinamike priljeva sredstava i dospijeća obveza vezano za provedbu projekta „Sanacija šteta od potresa na Staroj zgradi Specijalne bolnice za medicinsku rehabilitaciju Krapinske Toplice“</w:t>
      </w:r>
      <w:r w:rsidR="004732D6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6755A116" w14:textId="2C11327F" w:rsidR="001C2019" w:rsidRPr="001C2019" w:rsidRDefault="001C2019" w:rsidP="001C2019">
      <w:pPr>
        <w:ind w:left="720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>Realizirani iznos predstavlja 10</w:t>
      </w:r>
      <w:r w:rsidR="004732D6">
        <w:rPr>
          <w:rFonts w:cs="Times New Roman"/>
          <w:color w:val="000000" w:themeColor="text1"/>
          <w:sz w:val="24"/>
          <w:szCs w:val="24"/>
          <w:lang w:val="hr-HR"/>
        </w:rPr>
        <w:t>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5B11B7F6" w14:textId="77777777" w:rsidR="001C2019" w:rsidRPr="001C2019" w:rsidRDefault="001C2019" w:rsidP="001C2019">
      <w:pPr>
        <w:jc w:val="both"/>
        <w:rPr>
          <w:rFonts w:cs="Times New Roman"/>
          <w:b/>
          <w:color w:val="000000" w:themeColor="text1"/>
          <w:sz w:val="24"/>
          <w:szCs w:val="24"/>
          <w:lang w:val="hr-HR"/>
        </w:rPr>
      </w:pPr>
    </w:p>
    <w:p w14:paraId="51CB3295" w14:textId="77777777" w:rsidR="001C2019" w:rsidRPr="001C2019" w:rsidRDefault="001C2019" w:rsidP="001C2019">
      <w:pPr>
        <w:jc w:val="both"/>
        <w:rPr>
          <w:rFonts w:cs="Times New Roman"/>
          <w:bCs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bCs/>
          <w:color w:val="000000" w:themeColor="text1"/>
          <w:sz w:val="24"/>
          <w:szCs w:val="24"/>
          <w:u w:val="single"/>
          <w:lang w:val="hr-HR"/>
        </w:rPr>
        <w:t>Prihodi od imovine (konto 64)</w:t>
      </w:r>
    </w:p>
    <w:p w14:paraId="7B604C47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85B2AF1" w14:textId="314ECA45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od imovine realizirani su u iznosu od </w:t>
      </w:r>
      <w:r w:rsidR="00387ABF">
        <w:rPr>
          <w:rFonts w:cs="Times New Roman"/>
          <w:color w:val="000000" w:themeColor="text1"/>
          <w:sz w:val="24"/>
          <w:szCs w:val="24"/>
          <w:lang w:val="hr-HR"/>
        </w:rPr>
        <w:t>200.120,54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s </w:t>
      </w:r>
      <w:r w:rsidR="00387ABF">
        <w:rPr>
          <w:rFonts w:cs="Times New Roman"/>
          <w:color w:val="000000" w:themeColor="text1"/>
          <w:sz w:val="24"/>
          <w:szCs w:val="24"/>
          <w:lang w:val="hr-HR"/>
        </w:rPr>
        <w:t>60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u odnosu na godišnji plan. U odnosu na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 xml:space="preserve"> isto izvještajno razdoblje u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202</w:t>
      </w:r>
      <w:r w:rsidR="00387ABF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veći su za </w:t>
      </w:r>
      <w:r w:rsidR="00387ABF">
        <w:rPr>
          <w:rFonts w:cs="Times New Roman"/>
          <w:color w:val="000000" w:themeColor="text1"/>
          <w:sz w:val="24"/>
          <w:szCs w:val="24"/>
          <w:lang w:val="hr-HR"/>
        </w:rPr>
        <w:t>83.606,89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387ABF">
        <w:rPr>
          <w:rFonts w:cs="Times New Roman"/>
          <w:color w:val="000000" w:themeColor="text1"/>
          <w:sz w:val="24"/>
          <w:szCs w:val="24"/>
          <w:lang w:val="hr-HR"/>
        </w:rPr>
        <w:t>72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1C8B2FCD" w14:textId="0BA5C994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641 Prihodi od financijske imovine – </w:t>
      </w:r>
      <w:r w:rsidR="00387ABF">
        <w:rPr>
          <w:rFonts w:cs="Times New Roman"/>
          <w:color w:val="000000" w:themeColor="text1"/>
          <w:sz w:val="24"/>
          <w:szCs w:val="24"/>
          <w:u w:val="single"/>
          <w:lang w:val="hr-HR"/>
        </w:rPr>
        <w:t>72.651,22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22B5938E" w14:textId="0D4307E4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u iznosu od </w:t>
      </w:r>
      <w:r w:rsidR="00387ABF">
        <w:rPr>
          <w:rFonts w:cs="Times New Roman"/>
          <w:color w:val="000000" w:themeColor="text1"/>
          <w:sz w:val="24"/>
          <w:szCs w:val="24"/>
          <w:lang w:val="hr-HR"/>
        </w:rPr>
        <w:t xml:space="preserve">64.653,06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EUR odnose se na županijski proračun, a uključuju sljedeće: </w:t>
      </w:r>
      <w:r w:rsidR="00387ABF">
        <w:rPr>
          <w:rFonts w:cs="Times New Roman"/>
          <w:color w:val="000000" w:themeColor="text1"/>
          <w:sz w:val="24"/>
          <w:szCs w:val="24"/>
          <w:lang w:val="hr-HR"/>
        </w:rPr>
        <w:t>7.696,90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- prihodi od kamata po viđenju i zatezne kamate</w:t>
      </w:r>
      <w:r w:rsidR="00387ABF">
        <w:rPr>
          <w:rFonts w:cs="Times New Roman"/>
          <w:color w:val="000000" w:themeColor="text1"/>
          <w:sz w:val="24"/>
          <w:szCs w:val="24"/>
          <w:lang w:val="hr-HR"/>
        </w:rPr>
        <w:t>, 56.956,16 EUR - kamate na oročena sredstava.</w:t>
      </w:r>
    </w:p>
    <w:p w14:paraId="2AEA7E63" w14:textId="46A4399E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od </w:t>
      </w:r>
      <w:r w:rsidR="00387ABF">
        <w:rPr>
          <w:rFonts w:cs="Times New Roman"/>
          <w:color w:val="000000" w:themeColor="text1"/>
          <w:sz w:val="24"/>
          <w:szCs w:val="24"/>
          <w:lang w:val="hr-HR"/>
        </w:rPr>
        <w:t>7.998,16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korisnike.</w:t>
      </w:r>
    </w:p>
    <w:p w14:paraId="00FF609A" w14:textId="47B06115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387ABF">
        <w:rPr>
          <w:rFonts w:cs="Times New Roman"/>
          <w:color w:val="000000" w:themeColor="text1"/>
          <w:sz w:val="24"/>
          <w:szCs w:val="24"/>
          <w:lang w:val="hr-HR"/>
        </w:rPr>
        <w:t>58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6029B61B" w14:textId="15D84BF7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642 Prihodi od nefinancijske imovine – </w:t>
      </w:r>
      <w:r w:rsidR="00387ABF">
        <w:rPr>
          <w:rFonts w:cs="Times New Roman"/>
          <w:color w:val="000000" w:themeColor="text1"/>
          <w:sz w:val="24"/>
          <w:szCs w:val="24"/>
          <w:u w:val="single"/>
          <w:lang w:val="hr-HR"/>
        </w:rPr>
        <w:t>123.873,37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3B3C128F" w14:textId="284E49F7" w:rsidR="001C2019" w:rsidRPr="001C2019" w:rsidRDefault="001C2019" w:rsidP="001C2019">
      <w:pPr>
        <w:ind w:left="720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>Prihodi u iznosu od 1</w:t>
      </w:r>
      <w:r w:rsidR="00387ABF">
        <w:rPr>
          <w:rFonts w:cs="Times New Roman"/>
          <w:color w:val="000000" w:themeColor="text1"/>
          <w:sz w:val="24"/>
          <w:szCs w:val="24"/>
          <w:lang w:val="hr-HR"/>
        </w:rPr>
        <w:t>03.691,78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sljedeće: </w:t>
      </w:r>
      <w:r w:rsidR="00387ABF">
        <w:rPr>
          <w:rFonts w:cs="Times New Roman"/>
          <w:color w:val="000000" w:themeColor="text1"/>
          <w:sz w:val="24"/>
          <w:szCs w:val="24"/>
          <w:lang w:val="hr-HR"/>
        </w:rPr>
        <w:t>3.510,89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– naknada za koncesije (vode), </w:t>
      </w:r>
      <w:r w:rsidR="00387ABF">
        <w:rPr>
          <w:rFonts w:cs="Times New Roman"/>
          <w:color w:val="000000" w:themeColor="text1"/>
          <w:sz w:val="24"/>
          <w:szCs w:val="24"/>
          <w:lang w:val="hr-HR"/>
        </w:rPr>
        <w:t>6.958,86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– prihodi od zakupa i iznajmljivanja imovine, </w:t>
      </w:r>
      <w:r w:rsidR="00387ABF">
        <w:rPr>
          <w:rFonts w:cs="Times New Roman"/>
          <w:color w:val="000000" w:themeColor="text1"/>
          <w:sz w:val="24"/>
          <w:szCs w:val="24"/>
          <w:lang w:val="hr-HR"/>
        </w:rPr>
        <w:t>79.131,09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– naknada za korištenje i eksploataciju mineralnih sirovina, </w:t>
      </w:r>
      <w:r w:rsidR="00E939CF">
        <w:rPr>
          <w:rFonts w:cs="Times New Roman"/>
          <w:color w:val="000000" w:themeColor="text1"/>
          <w:sz w:val="24"/>
          <w:szCs w:val="24"/>
          <w:lang w:val="hr-HR"/>
        </w:rPr>
        <w:t xml:space="preserve">7.604,06 EUR -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lovozakupnina, </w:t>
      </w:r>
      <w:r w:rsidR="00387ABF">
        <w:rPr>
          <w:rFonts w:cs="Times New Roman"/>
          <w:color w:val="000000" w:themeColor="text1"/>
          <w:sz w:val="24"/>
          <w:szCs w:val="24"/>
          <w:lang w:val="hr-HR"/>
        </w:rPr>
        <w:t>6.486,88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– ostali prihodi (naknada za nezakonito izgrađene građevine). </w:t>
      </w:r>
    </w:p>
    <w:p w14:paraId="0AA0DAB5" w14:textId="048319CE" w:rsidR="001C2019" w:rsidRPr="001C2019" w:rsidRDefault="001C2019" w:rsidP="001C2019">
      <w:pPr>
        <w:ind w:left="720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u iznosu od </w:t>
      </w:r>
      <w:r w:rsidR="00E939CF">
        <w:rPr>
          <w:rFonts w:cs="Times New Roman"/>
          <w:color w:val="000000" w:themeColor="text1"/>
          <w:sz w:val="24"/>
          <w:szCs w:val="24"/>
          <w:lang w:val="hr-HR"/>
        </w:rPr>
        <w:t>20.181,59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prihode od iznajmljivanja i zakupa prostora.</w:t>
      </w:r>
    </w:p>
    <w:p w14:paraId="57F314AA" w14:textId="412ABF6D" w:rsidR="001C2019" w:rsidRPr="001C2019" w:rsidRDefault="001C2019" w:rsidP="001C2019">
      <w:pPr>
        <w:ind w:left="720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E939CF">
        <w:rPr>
          <w:rFonts w:cs="Times New Roman"/>
          <w:color w:val="000000" w:themeColor="text1"/>
          <w:sz w:val="24"/>
          <w:szCs w:val="24"/>
          <w:lang w:val="hr-HR"/>
        </w:rPr>
        <w:t>60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236C9F77" w14:textId="197B0A8E" w:rsidR="001C2019" w:rsidRPr="001C2019" w:rsidRDefault="001C2019" w:rsidP="001C2019">
      <w:pPr>
        <w:numPr>
          <w:ilvl w:val="0"/>
          <w:numId w:val="2"/>
        </w:numPr>
        <w:ind w:left="709" w:hanging="283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>643 Prihodi od kamata na dane zajmove – 3.</w:t>
      </w:r>
      <w:r w:rsidR="00E939CF">
        <w:rPr>
          <w:rFonts w:cs="Times New Roman"/>
          <w:color w:val="000000" w:themeColor="text1"/>
          <w:sz w:val="24"/>
          <w:szCs w:val="24"/>
          <w:u w:val="single"/>
          <w:lang w:val="hr-HR"/>
        </w:rPr>
        <w:t>595,95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192E6CAD" w14:textId="56CCD9D8" w:rsid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</w:t>
      </w:r>
      <w:r w:rsidR="00E939CF">
        <w:rPr>
          <w:rFonts w:cs="Times New Roman"/>
          <w:color w:val="000000" w:themeColor="text1"/>
          <w:sz w:val="24"/>
          <w:szCs w:val="24"/>
          <w:lang w:val="hr-HR"/>
        </w:rPr>
        <w:t xml:space="preserve">u iznosu od 2.895,96 EUR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odnose na županijski proračun, a uključuju prihode od kamata na dane kredite malom i srednjem poduzetništvu kroz kreditne linije putem poslovnih banaka. Realizacija ovisi o povratu obveza od korisnika kredita.</w:t>
      </w:r>
    </w:p>
    <w:p w14:paraId="05CE0FC0" w14:textId="60F6E61B" w:rsidR="00E939CF" w:rsidRPr="001C2019" w:rsidRDefault="00E939CF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 xml:space="preserve">Prihodi u iznosu od 699,99 EUR odnose se na OŠ </w:t>
      </w:r>
      <w:proofErr w:type="spellStart"/>
      <w:r>
        <w:rPr>
          <w:rFonts w:cs="Times New Roman"/>
          <w:color w:val="000000" w:themeColor="text1"/>
          <w:sz w:val="24"/>
          <w:szCs w:val="24"/>
          <w:lang w:val="hr-HR"/>
        </w:rPr>
        <w:t>Desinić</w:t>
      </w:r>
      <w:proofErr w:type="spellEnd"/>
      <w:r>
        <w:rPr>
          <w:rFonts w:cs="Times New Roman"/>
          <w:color w:val="000000" w:themeColor="text1"/>
          <w:sz w:val="24"/>
          <w:szCs w:val="24"/>
          <w:lang w:val="hr-HR"/>
        </w:rPr>
        <w:t xml:space="preserve">. </w:t>
      </w:r>
    </w:p>
    <w:p w14:paraId="57239EE1" w14:textId="37E7512D" w:rsidR="001C2019" w:rsidRPr="00B52BB4" w:rsidRDefault="001C2019" w:rsidP="00B52BB4">
      <w:pPr>
        <w:ind w:left="737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E939CF">
        <w:rPr>
          <w:rFonts w:cs="Times New Roman"/>
          <w:color w:val="000000" w:themeColor="text1"/>
          <w:sz w:val="24"/>
          <w:szCs w:val="24"/>
          <w:lang w:val="hr-HR"/>
        </w:rPr>
        <w:t>2</w:t>
      </w:r>
      <w:r w:rsidR="00B52BB4">
        <w:rPr>
          <w:rFonts w:cs="Times New Roman"/>
          <w:color w:val="000000" w:themeColor="text1"/>
          <w:sz w:val="24"/>
          <w:szCs w:val="24"/>
          <w:lang w:val="hr-HR"/>
        </w:rPr>
        <w:t>72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7D281AD2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0699F669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>Prihodi od pristojbi i naknada (konto 65)</w:t>
      </w:r>
    </w:p>
    <w:p w14:paraId="5B8EC108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0E90342A" w14:textId="3862DEB8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od pristojbi i naknada realizirani su u iznosu od </w:t>
      </w:r>
      <w:r w:rsidR="00E939CF">
        <w:rPr>
          <w:rFonts w:cs="Times New Roman"/>
          <w:color w:val="000000" w:themeColor="text1"/>
          <w:sz w:val="24"/>
          <w:szCs w:val="24"/>
          <w:lang w:val="hr-HR"/>
        </w:rPr>
        <w:t>3.177.314,48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s </w:t>
      </w:r>
      <w:r w:rsidR="00E939CF">
        <w:rPr>
          <w:rFonts w:cs="Times New Roman"/>
          <w:color w:val="000000" w:themeColor="text1"/>
          <w:sz w:val="24"/>
          <w:szCs w:val="24"/>
          <w:lang w:val="hr-HR"/>
        </w:rPr>
        <w:t>44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E939CF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E939CF">
        <w:rPr>
          <w:rFonts w:cs="Times New Roman"/>
          <w:color w:val="000000" w:themeColor="text1"/>
          <w:sz w:val="24"/>
          <w:szCs w:val="24"/>
          <w:lang w:val="hr-HR"/>
        </w:rPr>
        <w:t>veći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 w:rsidR="00791EF0">
        <w:rPr>
          <w:rFonts w:cs="Times New Roman"/>
          <w:color w:val="000000" w:themeColor="text1"/>
          <w:sz w:val="24"/>
          <w:szCs w:val="24"/>
          <w:lang w:val="hr-HR"/>
        </w:rPr>
        <w:t>27.118,99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791EF0">
        <w:rPr>
          <w:rFonts w:cs="Times New Roman"/>
          <w:color w:val="000000" w:themeColor="text1"/>
          <w:sz w:val="24"/>
          <w:szCs w:val="24"/>
          <w:lang w:val="hr-HR"/>
        </w:rPr>
        <w:t>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4D2DE415" w14:textId="16698844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651 Administrativne (upravne) pristojbe – </w:t>
      </w:r>
      <w:r w:rsidR="00791EF0">
        <w:rPr>
          <w:rFonts w:cs="Times New Roman"/>
          <w:color w:val="000000" w:themeColor="text1"/>
          <w:sz w:val="24"/>
          <w:szCs w:val="24"/>
          <w:u w:val="single"/>
          <w:lang w:val="hr-HR"/>
        </w:rPr>
        <w:t>119.023,14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7493D5A3" w14:textId="40CC065F" w:rsidR="001C2019" w:rsidRPr="001C2019" w:rsidRDefault="001C2019" w:rsidP="001C2019">
      <w:pPr>
        <w:ind w:left="72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od pristojbi odnose na županijski proračun, a uključuju županijske upravne pristojbe u iznosu od </w:t>
      </w:r>
      <w:r w:rsidR="00791EF0">
        <w:rPr>
          <w:rFonts w:cs="Times New Roman"/>
          <w:color w:val="000000" w:themeColor="text1"/>
          <w:sz w:val="24"/>
          <w:szCs w:val="24"/>
          <w:lang w:val="hr-HR"/>
        </w:rPr>
        <w:t>116.291,90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a iznos od </w:t>
      </w:r>
      <w:r w:rsidR="00791EF0">
        <w:rPr>
          <w:rFonts w:cs="Times New Roman"/>
          <w:color w:val="000000" w:themeColor="text1"/>
          <w:sz w:val="24"/>
          <w:szCs w:val="24"/>
          <w:lang w:val="hr-HR"/>
        </w:rPr>
        <w:t>2.731,24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se odnosi na ostale upravne pristojbe i naknade.</w:t>
      </w:r>
    </w:p>
    <w:p w14:paraId="6677D083" w14:textId="7A196C36" w:rsidR="001C2019" w:rsidRPr="001C2019" w:rsidRDefault="001C2019" w:rsidP="001C2019">
      <w:pPr>
        <w:ind w:left="72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791EF0">
        <w:rPr>
          <w:rFonts w:cs="Times New Roman"/>
          <w:color w:val="000000" w:themeColor="text1"/>
          <w:sz w:val="24"/>
          <w:szCs w:val="24"/>
          <w:lang w:val="hr-HR"/>
        </w:rPr>
        <w:t>60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1D872D00" w14:textId="68D6F782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652 Prihodi po posebnim propisima – </w:t>
      </w:r>
      <w:r w:rsidR="00791EF0">
        <w:rPr>
          <w:rFonts w:cs="Times New Roman"/>
          <w:color w:val="000000" w:themeColor="text1"/>
          <w:sz w:val="24"/>
          <w:szCs w:val="24"/>
          <w:u w:val="single"/>
          <w:lang w:val="hr-HR"/>
        </w:rPr>
        <w:t>3.058.291,34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65D612B1" w14:textId="76CD0EEF" w:rsidR="001C2019" w:rsidRPr="001C2019" w:rsidRDefault="001C2019" w:rsidP="001C2019">
      <w:pPr>
        <w:ind w:left="714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u iznosu od </w:t>
      </w:r>
      <w:r w:rsidR="00791EF0">
        <w:rPr>
          <w:rFonts w:cs="Times New Roman"/>
          <w:color w:val="000000" w:themeColor="text1"/>
          <w:sz w:val="24"/>
          <w:szCs w:val="24"/>
          <w:lang w:val="hr-HR"/>
        </w:rPr>
        <w:t>7.104,57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prihode od izdavanja dozvola, sklapanje braka, izvlaštenja i prenamjene zemljišta.</w:t>
      </w:r>
    </w:p>
    <w:p w14:paraId="60980B42" w14:textId="6DDD8533" w:rsidR="001C2019" w:rsidRPr="001C2019" w:rsidRDefault="001C2019" w:rsidP="001C2019">
      <w:pPr>
        <w:ind w:left="714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u iznosu od </w:t>
      </w:r>
      <w:r w:rsidR="00791EF0">
        <w:rPr>
          <w:rFonts w:cs="Times New Roman"/>
          <w:color w:val="000000" w:themeColor="text1"/>
          <w:sz w:val="24"/>
          <w:szCs w:val="24"/>
          <w:lang w:val="hr-HR"/>
        </w:rPr>
        <w:t>3.051.186,77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prihode od sufinanciranja cijena usluga i participacije, dopunsko zdravstveno osiguranje, refundacije s osnove osiguranja te ostale prihode po posebnim propisima. Prihodi proračunskih korisnika u školstvu iznose </w:t>
      </w:r>
      <w:r w:rsidR="00F455E2">
        <w:rPr>
          <w:rFonts w:cs="Times New Roman"/>
          <w:color w:val="000000" w:themeColor="text1"/>
          <w:sz w:val="24"/>
          <w:szCs w:val="24"/>
          <w:lang w:val="hr-HR"/>
        </w:rPr>
        <w:t>512.640,50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</w:t>
      </w:r>
      <w:r w:rsidR="009D1DFC">
        <w:rPr>
          <w:rFonts w:cs="Times New Roman"/>
          <w:color w:val="000000" w:themeColor="text1"/>
          <w:sz w:val="24"/>
          <w:szCs w:val="24"/>
          <w:lang w:val="hr-HR"/>
        </w:rPr>
        <w:t xml:space="preserve">dok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lastRenderedPageBreak/>
        <w:t xml:space="preserve">zdravstvu iznose </w:t>
      </w:r>
      <w:r w:rsidR="00F455E2">
        <w:rPr>
          <w:rFonts w:cs="Times New Roman"/>
          <w:color w:val="000000" w:themeColor="text1"/>
          <w:sz w:val="24"/>
          <w:szCs w:val="24"/>
          <w:lang w:val="hr-HR"/>
        </w:rPr>
        <w:t>2.538.546,27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(Dom zdravlja KZŽ – </w:t>
      </w:r>
      <w:r w:rsidR="00F455E2">
        <w:rPr>
          <w:rFonts w:cs="Times New Roman"/>
          <w:color w:val="000000" w:themeColor="text1"/>
          <w:sz w:val="24"/>
          <w:szCs w:val="24"/>
          <w:lang w:val="hr-HR"/>
        </w:rPr>
        <w:t>228.931,64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SB Stubičke Toplice – </w:t>
      </w:r>
      <w:r w:rsidR="00F455E2">
        <w:rPr>
          <w:rFonts w:cs="Times New Roman"/>
          <w:color w:val="000000" w:themeColor="text1"/>
          <w:sz w:val="24"/>
          <w:szCs w:val="24"/>
          <w:lang w:val="hr-HR"/>
        </w:rPr>
        <w:t>618.497,66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Zavod za javno zdravstvo – </w:t>
      </w:r>
      <w:r w:rsidR="00F455E2">
        <w:rPr>
          <w:rFonts w:cs="Times New Roman"/>
          <w:color w:val="000000" w:themeColor="text1"/>
          <w:sz w:val="24"/>
          <w:szCs w:val="24"/>
          <w:lang w:val="hr-HR"/>
        </w:rPr>
        <w:t>2.958,93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SB Krapinske Toplice -  </w:t>
      </w:r>
      <w:r w:rsidR="00F455E2">
        <w:rPr>
          <w:rFonts w:cs="Times New Roman"/>
          <w:color w:val="000000" w:themeColor="text1"/>
          <w:sz w:val="24"/>
          <w:szCs w:val="24"/>
          <w:lang w:val="hr-HR"/>
        </w:rPr>
        <w:t>1.666.618,19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Zavod za hitnu medicinu KZŽ – </w:t>
      </w:r>
      <w:r w:rsidR="00F455E2">
        <w:rPr>
          <w:rFonts w:cs="Times New Roman"/>
          <w:color w:val="000000" w:themeColor="text1"/>
          <w:sz w:val="24"/>
          <w:szCs w:val="24"/>
          <w:lang w:val="hr-HR"/>
        </w:rPr>
        <w:t>21.539,85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426D70">
        <w:rPr>
          <w:rFonts w:cs="Times New Roman"/>
          <w:color w:val="000000" w:themeColor="text1"/>
          <w:sz w:val="24"/>
          <w:szCs w:val="24"/>
          <w:lang w:val="hr-HR"/>
        </w:rPr>
        <w:t>)</w:t>
      </w:r>
      <w:r w:rsidR="00F455E2">
        <w:rPr>
          <w:rFonts w:cs="Times New Roman"/>
          <w:color w:val="000000" w:themeColor="text1"/>
          <w:sz w:val="24"/>
          <w:szCs w:val="24"/>
          <w:lang w:val="hr-HR"/>
        </w:rPr>
        <w:t>.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</w:p>
    <w:p w14:paraId="43F4BF97" w14:textId="2718F79D" w:rsidR="001C2019" w:rsidRPr="001C2019" w:rsidRDefault="001C2019" w:rsidP="001C2019">
      <w:pPr>
        <w:ind w:left="714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F455E2">
        <w:rPr>
          <w:rFonts w:cs="Times New Roman"/>
          <w:color w:val="000000" w:themeColor="text1"/>
          <w:sz w:val="24"/>
          <w:szCs w:val="24"/>
          <w:lang w:val="hr-HR"/>
        </w:rPr>
        <w:t>43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1F66CAD1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57F67ED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>Prihodi od prodaje proizvoda i pruženih usluga (konto 66)</w:t>
      </w:r>
    </w:p>
    <w:p w14:paraId="43C2CB2F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22F9ACFB" w14:textId="65F64EAA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od prodaje proizvoda i pruženih usluga realizirani su u iznosu od </w:t>
      </w:r>
      <w:r w:rsidR="00F455E2">
        <w:rPr>
          <w:rFonts w:cs="Times New Roman"/>
          <w:color w:val="000000" w:themeColor="text1"/>
          <w:sz w:val="24"/>
          <w:szCs w:val="24"/>
          <w:lang w:val="hr-HR"/>
        </w:rPr>
        <w:t>3.905.175,49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s </w:t>
      </w:r>
      <w:r w:rsidR="00F455E2">
        <w:rPr>
          <w:rFonts w:cs="Times New Roman"/>
          <w:color w:val="000000" w:themeColor="text1"/>
          <w:sz w:val="24"/>
          <w:szCs w:val="24"/>
          <w:lang w:val="hr-HR"/>
        </w:rPr>
        <w:t>47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6801BB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2F66C0">
        <w:rPr>
          <w:rFonts w:cs="Times New Roman"/>
          <w:color w:val="000000" w:themeColor="text1"/>
          <w:sz w:val="24"/>
          <w:szCs w:val="24"/>
          <w:lang w:val="hr-HR"/>
        </w:rPr>
        <w:t>veći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 w:rsidR="002F66C0">
        <w:rPr>
          <w:rFonts w:cs="Times New Roman"/>
          <w:color w:val="000000" w:themeColor="text1"/>
          <w:sz w:val="24"/>
          <w:szCs w:val="24"/>
          <w:lang w:val="hr-HR"/>
        </w:rPr>
        <w:t>312.662,54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2F66C0">
        <w:rPr>
          <w:rFonts w:cs="Times New Roman"/>
          <w:color w:val="000000" w:themeColor="text1"/>
          <w:sz w:val="24"/>
          <w:szCs w:val="24"/>
          <w:lang w:val="hr-HR"/>
        </w:rPr>
        <w:t>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5F6DEA08" w14:textId="7C40B4B4" w:rsidR="001C2019" w:rsidRPr="001C2019" w:rsidRDefault="001C2019" w:rsidP="001C2019">
      <w:pPr>
        <w:numPr>
          <w:ilvl w:val="0"/>
          <w:numId w:val="2"/>
        </w:numPr>
        <w:ind w:left="709"/>
        <w:contextualSpacing/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661 Prihodi od prodaje proizvoda i robe te pruženih usluga – </w:t>
      </w:r>
      <w:r w:rsidR="002F66C0">
        <w:rPr>
          <w:rFonts w:cs="Times New Roman"/>
          <w:color w:val="000000" w:themeColor="text1"/>
          <w:sz w:val="24"/>
          <w:szCs w:val="24"/>
          <w:u w:val="single"/>
          <w:lang w:val="hr-HR"/>
        </w:rPr>
        <w:t>3.794.394,67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16B80E60" w14:textId="55FBE5E8" w:rsidR="001C2019" w:rsidRPr="001C2019" w:rsidRDefault="001C2019" w:rsidP="001C2019">
      <w:p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se odnose na proračunske korisnike, a uključuju prihode od prodaje robe i usluga i najma prostora. Prihodi proračunskih korisnika u školstvu iznose </w:t>
      </w:r>
      <w:r w:rsidR="00334B65">
        <w:rPr>
          <w:rFonts w:cs="Times New Roman"/>
          <w:color w:val="000000" w:themeColor="text1"/>
          <w:sz w:val="24"/>
          <w:szCs w:val="24"/>
          <w:lang w:val="hr-HR"/>
        </w:rPr>
        <w:t>325.496,39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dok prihodi u zdravstvu iznose </w:t>
      </w:r>
      <w:r w:rsidR="00334B65">
        <w:rPr>
          <w:rFonts w:cs="Times New Roman"/>
          <w:color w:val="000000" w:themeColor="text1"/>
          <w:sz w:val="24"/>
          <w:szCs w:val="24"/>
          <w:lang w:val="hr-HR"/>
        </w:rPr>
        <w:t>3.468.898,28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EUR.</w:t>
      </w:r>
    </w:p>
    <w:p w14:paraId="2E0C27B5" w14:textId="4EECDBC5" w:rsidR="001C2019" w:rsidRPr="001C2019" w:rsidRDefault="001C2019" w:rsidP="001C2019">
      <w:p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Navedeni iznos predstavlja </w:t>
      </w:r>
      <w:r w:rsidR="00334B65">
        <w:rPr>
          <w:rFonts w:cs="Times New Roman"/>
          <w:color w:val="000000" w:themeColor="text1"/>
          <w:sz w:val="24"/>
          <w:szCs w:val="24"/>
          <w:lang w:val="hr-HR"/>
        </w:rPr>
        <w:t>47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235C1263" w14:textId="639105F6" w:rsidR="001C2019" w:rsidRPr="001C2019" w:rsidRDefault="001C2019" w:rsidP="001C2019">
      <w:pPr>
        <w:numPr>
          <w:ilvl w:val="0"/>
          <w:numId w:val="2"/>
        </w:numPr>
        <w:ind w:left="709"/>
        <w:contextualSpacing/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663 Donacije od  pravnih i fizičkih osoba izvan općeg proračuna – </w:t>
      </w:r>
      <w:r w:rsidR="00334B65">
        <w:rPr>
          <w:rFonts w:cs="Times New Roman"/>
          <w:color w:val="000000" w:themeColor="text1"/>
          <w:sz w:val="24"/>
          <w:szCs w:val="24"/>
          <w:u w:val="single"/>
          <w:lang w:val="hr-HR"/>
        </w:rPr>
        <w:t>110.780,82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1E3A2C52" w14:textId="5D121E26" w:rsidR="001C2019" w:rsidRPr="001C2019" w:rsidRDefault="001C2019" w:rsidP="001C2019">
      <w:p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Iznos od </w:t>
      </w:r>
      <w:r w:rsidR="002F227C">
        <w:rPr>
          <w:rFonts w:cs="Times New Roman"/>
          <w:color w:val="000000" w:themeColor="text1"/>
          <w:sz w:val="24"/>
          <w:szCs w:val="24"/>
          <w:lang w:val="hr-HR"/>
        </w:rPr>
        <w:t>335,00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odnosi se na županijski proračun, a uključuje aktivirana jamstva po studentskim kreditima.</w:t>
      </w:r>
    </w:p>
    <w:p w14:paraId="38C2FCCA" w14:textId="79317D98" w:rsidR="001C2019" w:rsidRPr="001C2019" w:rsidRDefault="001C2019" w:rsidP="001C2019">
      <w:p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Donacije u iznosu od </w:t>
      </w:r>
      <w:r w:rsidR="00426D70">
        <w:rPr>
          <w:rFonts w:cs="Times New Roman"/>
          <w:color w:val="000000" w:themeColor="text1"/>
          <w:sz w:val="24"/>
          <w:szCs w:val="24"/>
          <w:lang w:val="hr-HR"/>
        </w:rPr>
        <w:t>110.445,82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tekuće donacije od fizičkih osoba, tekuće i kapitalne donacije od trgovačkih društava te tekuće i kapitalne donacije od subjekata izvan općeg proračuna. Donacije proračunskih korisnika u školstvu iznose </w:t>
      </w:r>
      <w:r w:rsidR="00426D70">
        <w:rPr>
          <w:rFonts w:cs="Times New Roman"/>
          <w:color w:val="000000" w:themeColor="text1"/>
          <w:sz w:val="24"/>
          <w:szCs w:val="24"/>
          <w:lang w:val="hr-HR"/>
        </w:rPr>
        <w:t>70.279,99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donacije u zdravstvu iznose </w:t>
      </w:r>
      <w:r w:rsidR="00426D70">
        <w:rPr>
          <w:rFonts w:cs="Times New Roman"/>
          <w:color w:val="000000" w:themeColor="text1"/>
          <w:sz w:val="24"/>
          <w:szCs w:val="24"/>
          <w:lang w:val="hr-HR"/>
        </w:rPr>
        <w:t>40.165,83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426D7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2B68914C" w14:textId="43803D4E" w:rsidR="001C2019" w:rsidRPr="001C2019" w:rsidRDefault="001C2019" w:rsidP="001C2019">
      <w:p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Navedeni iznos predstavlja </w:t>
      </w:r>
      <w:r w:rsidR="00426D70">
        <w:rPr>
          <w:rFonts w:cs="Times New Roman"/>
          <w:color w:val="000000" w:themeColor="text1"/>
          <w:sz w:val="24"/>
          <w:szCs w:val="24"/>
          <w:lang w:val="hr-HR"/>
        </w:rPr>
        <w:t>63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godišnjeg plana. </w:t>
      </w:r>
    </w:p>
    <w:p w14:paraId="659AE820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02C7F376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>Prihodi od HZZO-a na temelju ugovornih obveza (konto 67)</w:t>
      </w:r>
    </w:p>
    <w:p w14:paraId="4BD3B58E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13E8F191" w14:textId="25189A03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HZZO-a na temelju ugovornih obveza realizirani su u iznosu od </w:t>
      </w:r>
      <w:r w:rsidR="00426D70">
        <w:rPr>
          <w:rFonts w:cs="Times New Roman"/>
          <w:color w:val="000000" w:themeColor="text1"/>
          <w:sz w:val="24"/>
          <w:szCs w:val="24"/>
          <w:lang w:val="hr-HR"/>
        </w:rPr>
        <w:t>22.994.655,90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s </w:t>
      </w:r>
      <w:r w:rsidR="00426D70">
        <w:rPr>
          <w:rFonts w:cs="Times New Roman"/>
          <w:color w:val="000000" w:themeColor="text1"/>
          <w:sz w:val="24"/>
          <w:szCs w:val="24"/>
          <w:lang w:val="hr-HR"/>
        </w:rPr>
        <w:t>40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426D70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426D70">
        <w:rPr>
          <w:rFonts w:cs="Times New Roman"/>
          <w:color w:val="000000" w:themeColor="text1"/>
          <w:sz w:val="24"/>
          <w:szCs w:val="24"/>
          <w:lang w:val="hr-HR"/>
        </w:rPr>
        <w:t>veći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 w:rsidR="00426D70">
        <w:rPr>
          <w:rFonts w:cs="Times New Roman"/>
          <w:color w:val="000000" w:themeColor="text1"/>
          <w:sz w:val="24"/>
          <w:szCs w:val="24"/>
          <w:lang w:val="hr-HR"/>
        </w:rPr>
        <w:t>2.708.709,08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426D70">
        <w:rPr>
          <w:rFonts w:cs="Times New Roman"/>
          <w:color w:val="000000" w:themeColor="text1"/>
          <w:sz w:val="24"/>
          <w:szCs w:val="24"/>
          <w:lang w:val="hr-HR"/>
        </w:rPr>
        <w:t>13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6A87FE25" w14:textId="4DC66B23" w:rsidR="001C2019" w:rsidRPr="001C2019" w:rsidRDefault="001C2019" w:rsidP="001C2019">
      <w:pPr>
        <w:numPr>
          <w:ilvl w:val="0"/>
          <w:numId w:val="2"/>
        </w:numPr>
        <w:ind w:left="709"/>
        <w:contextualSpacing/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673 Prihodi od HZZO-a na temelju ugovornih obveza – </w:t>
      </w:r>
      <w:r w:rsidR="00426D70">
        <w:rPr>
          <w:rFonts w:cs="Times New Roman"/>
          <w:color w:val="000000" w:themeColor="text1"/>
          <w:sz w:val="24"/>
          <w:szCs w:val="24"/>
          <w:u w:val="single"/>
          <w:lang w:val="hr-HR"/>
        </w:rPr>
        <w:t>22.994.655,90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7E2DD3AA" w14:textId="4CADB99D" w:rsidR="001C2019" w:rsidRPr="001C2019" w:rsidRDefault="001C2019" w:rsidP="001C2019">
      <w:p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se odnose na proračunske korisnike, a uključuju prihode od Hrvatskog zavoda za zdravstveno osiguranje na temelju ugovornih obveza, i to Dom zdravlja Krapinsko-zagorske županije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4.987.294,68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Specijalna bolnica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Stubičke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Toplice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2.730.325,30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Zavod za javno zdravstvo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789.272,43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Specijalna bolnica Krapinske Toplice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9.451.784,63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 Zavod za hitnu medicinu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5.035.978,86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EUR.</w:t>
      </w:r>
    </w:p>
    <w:p w14:paraId="3F1E151F" w14:textId="089864F6" w:rsidR="001C2019" w:rsidRPr="001C2019" w:rsidRDefault="001C2019" w:rsidP="001C2019">
      <w:p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Navedeni iznos predstavlja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40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001D238D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78E9912A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Ostali prihodi (konto 68) </w:t>
      </w:r>
    </w:p>
    <w:p w14:paraId="3372FA43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5CF7A3E5" w14:textId="2A0F3DB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Ostali prihodi realizirani su u iznosu od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38.616,39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s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68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veći su za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9.749,54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34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235773F1" w14:textId="0990A1F3" w:rsidR="001C2019" w:rsidRPr="001C2019" w:rsidRDefault="001C2019" w:rsidP="001C2019">
      <w:pPr>
        <w:numPr>
          <w:ilvl w:val="0"/>
          <w:numId w:val="2"/>
        </w:numPr>
        <w:ind w:left="709"/>
        <w:contextualSpacing/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681 Kazne i upravne mjere – </w:t>
      </w:r>
      <w:r w:rsidR="00F8649D">
        <w:rPr>
          <w:rFonts w:cs="Times New Roman"/>
          <w:color w:val="000000" w:themeColor="text1"/>
          <w:sz w:val="24"/>
          <w:szCs w:val="24"/>
          <w:u w:val="single"/>
          <w:lang w:val="hr-HR"/>
        </w:rPr>
        <w:t>667,59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6D079FAB" w14:textId="77777777" w:rsidR="001C2019" w:rsidRPr="001C2019" w:rsidRDefault="001C2019" w:rsidP="001C2019">
      <w:p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>Prihodi se odnose na proračunske korisnike.</w:t>
      </w:r>
    </w:p>
    <w:p w14:paraId="58854906" w14:textId="4AB820A5" w:rsidR="001C2019" w:rsidRPr="001C2019" w:rsidRDefault="001C2019" w:rsidP="001C2019">
      <w:p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Navedeni iznos predstavlja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67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0C4F4639" w14:textId="61D680C7" w:rsidR="001C2019" w:rsidRPr="001C2019" w:rsidRDefault="001C2019" w:rsidP="001C2019">
      <w:pPr>
        <w:numPr>
          <w:ilvl w:val="0"/>
          <w:numId w:val="2"/>
        </w:numPr>
        <w:ind w:left="709"/>
        <w:contextualSpacing/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683 Ostali prihodi – </w:t>
      </w:r>
      <w:r w:rsidR="00F8649D">
        <w:rPr>
          <w:rFonts w:cs="Times New Roman"/>
          <w:color w:val="000000" w:themeColor="text1"/>
          <w:sz w:val="24"/>
          <w:szCs w:val="24"/>
          <w:u w:val="single"/>
          <w:lang w:val="hr-HR"/>
        </w:rPr>
        <w:t>37.948,80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5845A06B" w14:textId="77777777" w:rsidR="001C2019" w:rsidRPr="001C2019" w:rsidRDefault="001C2019" w:rsidP="001C2019">
      <w:p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>Prihodi se odnose na proračunske korisnike.</w:t>
      </w:r>
    </w:p>
    <w:p w14:paraId="02280D0E" w14:textId="1940199A" w:rsidR="001C2019" w:rsidRPr="001C2019" w:rsidRDefault="001C2019" w:rsidP="001C2019">
      <w:p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Navedeni iznos predstavlja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68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7B7A2542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1AD4C61C" w14:textId="77777777" w:rsidR="00D745A0" w:rsidRDefault="00D745A0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</w:p>
    <w:p w14:paraId="17F46092" w14:textId="5286DCE3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lastRenderedPageBreak/>
        <w:t>Prihodi od prodaje proizvedene dugotrajne imovine (konto 72)</w:t>
      </w:r>
    </w:p>
    <w:p w14:paraId="152983CE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74B2233D" w14:textId="61377A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od proizvedene dugotrajne imovine realizirani su u iznosu od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56.460,85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s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475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</w:t>
      </w:r>
      <w:r w:rsidR="00D567AC">
        <w:rPr>
          <w:rFonts w:cs="Times New Roman"/>
          <w:color w:val="000000" w:themeColor="text1"/>
          <w:sz w:val="24"/>
          <w:szCs w:val="24"/>
          <w:lang w:val="hr-HR"/>
        </w:rPr>
        <w:t xml:space="preserve">odnosu na 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. godini su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veći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za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46.676,34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70FEDE35" w14:textId="548066DD" w:rsidR="001C2019" w:rsidRPr="001C2019" w:rsidRDefault="001C2019" w:rsidP="001C2019">
      <w:pPr>
        <w:numPr>
          <w:ilvl w:val="0"/>
          <w:numId w:val="2"/>
        </w:numPr>
        <w:ind w:left="709"/>
        <w:contextualSpacing/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721 Prihodi od prodaje građevinskih objekata – </w:t>
      </w:r>
      <w:r w:rsidR="00F8649D">
        <w:rPr>
          <w:rFonts w:cs="Times New Roman"/>
          <w:color w:val="000000" w:themeColor="text1"/>
          <w:sz w:val="24"/>
          <w:szCs w:val="24"/>
          <w:u w:val="single"/>
          <w:lang w:val="hr-HR"/>
        </w:rPr>
        <w:t>42.214,85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7C9F8B9D" w14:textId="453D9793" w:rsidR="001C2019" w:rsidRPr="001C2019" w:rsidRDefault="001C2019" w:rsidP="001C2019">
      <w:p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u iznosu od 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42.214,85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prihode od stambenih i poslovnih objekata.</w:t>
      </w:r>
    </w:p>
    <w:p w14:paraId="0FBC09B0" w14:textId="10E41D37" w:rsidR="001C2019" w:rsidRPr="001C2019" w:rsidRDefault="001C2019" w:rsidP="001C2019">
      <w:p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>Navedeni iznos predstavlja 4</w:t>
      </w:r>
      <w:r w:rsidR="00F8649D">
        <w:rPr>
          <w:rFonts w:cs="Times New Roman"/>
          <w:color w:val="000000" w:themeColor="text1"/>
          <w:sz w:val="24"/>
          <w:szCs w:val="24"/>
          <w:lang w:val="hr-HR"/>
        </w:rPr>
        <w:t>91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71AAF4AC" w14:textId="1C4BCB65" w:rsidR="001C2019" w:rsidRPr="001C2019" w:rsidRDefault="001C2019" w:rsidP="001C2019">
      <w:pPr>
        <w:numPr>
          <w:ilvl w:val="0"/>
          <w:numId w:val="2"/>
        </w:numPr>
        <w:ind w:left="709"/>
        <w:contextualSpacing/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723 Prihodi od prodaje prijevoznih sredstava – </w:t>
      </w:r>
      <w:r w:rsidR="00293D9F">
        <w:rPr>
          <w:rFonts w:cs="Times New Roman"/>
          <w:color w:val="000000" w:themeColor="text1"/>
          <w:sz w:val="24"/>
          <w:szCs w:val="24"/>
          <w:u w:val="single"/>
          <w:lang w:val="hr-HR"/>
        </w:rPr>
        <w:t>14.246,00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7969568E" w14:textId="764ECE44" w:rsidR="00293D9F" w:rsidRDefault="001C2019" w:rsidP="001C2019">
      <w:p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Prihodi </w:t>
      </w:r>
      <w:r w:rsidR="00293D9F">
        <w:rPr>
          <w:rFonts w:cs="Times New Roman"/>
          <w:color w:val="000000" w:themeColor="text1"/>
          <w:sz w:val="24"/>
          <w:szCs w:val="24"/>
          <w:lang w:val="hr-HR"/>
        </w:rPr>
        <w:t>u iznosu od 14.036,00EUR odnose se na županijski proračun, a uključuju prihod od prodaje prijevoznih sredstava.</w:t>
      </w:r>
    </w:p>
    <w:p w14:paraId="27196AF6" w14:textId="7C64C698" w:rsidR="00293D9F" w:rsidRDefault="00293D9F" w:rsidP="001C2019">
      <w:p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>Prihodi u iznosu od 210,00 EUR odnose na prijevozna sredstava Doma zdravlja Krapinsko-zagorske županije.</w:t>
      </w:r>
    </w:p>
    <w:p w14:paraId="3A12FE4A" w14:textId="0834CDE4" w:rsidR="001C2019" w:rsidRPr="001C2019" w:rsidRDefault="001C2019" w:rsidP="001C2019">
      <w:pPr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Navedeni iznos predstavlja </w:t>
      </w:r>
      <w:r w:rsidR="00293D9F">
        <w:rPr>
          <w:rFonts w:cs="Times New Roman"/>
          <w:color w:val="000000" w:themeColor="text1"/>
          <w:sz w:val="24"/>
          <w:szCs w:val="24"/>
          <w:lang w:val="hr-HR"/>
        </w:rPr>
        <w:t>432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5CB5DBE0" w14:textId="77777777" w:rsidR="00293D9F" w:rsidRDefault="00293D9F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20CA8A4E" w14:textId="74FD406F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Prihodi poslovanja (županijski dio)</w:t>
      </w:r>
    </w:p>
    <w:p w14:paraId="15288C55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9AE40B2" w14:textId="3C5D315D" w:rsidR="00B320B9" w:rsidRPr="002760E1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U </w:t>
      </w:r>
      <w:r w:rsidR="004762F0">
        <w:rPr>
          <w:rFonts w:cs="Times New Roman"/>
          <w:color w:val="000000" w:themeColor="text1"/>
          <w:sz w:val="24"/>
          <w:szCs w:val="24"/>
          <w:lang w:val="hr-HR"/>
        </w:rPr>
        <w:t xml:space="preserve">razdoblju od 01.01. – 30.06.2025. godine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ostvareni su ukupni prihodi u iznosu od </w:t>
      </w:r>
      <w:r w:rsidR="004762F0">
        <w:rPr>
          <w:rFonts w:cs="Times New Roman"/>
          <w:color w:val="000000" w:themeColor="text1"/>
          <w:sz w:val="24"/>
          <w:szCs w:val="24"/>
          <w:lang w:val="hr-HR"/>
        </w:rPr>
        <w:t>17.326.610,23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od čega se na prihode poslovanja odnosi </w:t>
      </w:r>
      <w:r w:rsidR="004762F0">
        <w:rPr>
          <w:rFonts w:cs="Times New Roman"/>
          <w:color w:val="000000" w:themeColor="text1"/>
          <w:sz w:val="24"/>
          <w:szCs w:val="24"/>
          <w:lang w:val="hr-HR"/>
        </w:rPr>
        <w:t>17.242.096,50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dok </w:t>
      </w:r>
      <w:r w:rsidR="004762F0">
        <w:rPr>
          <w:rFonts w:cs="Times New Roman"/>
          <w:color w:val="000000" w:themeColor="text1"/>
          <w:sz w:val="24"/>
          <w:szCs w:val="24"/>
          <w:lang w:val="hr-HR"/>
        </w:rPr>
        <w:t xml:space="preserve">se na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prihod</w:t>
      </w:r>
      <w:r w:rsidR="004762F0">
        <w:rPr>
          <w:rFonts w:cs="Times New Roman"/>
          <w:color w:val="000000" w:themeColor="text1"/>
          <w:sz w:val="24"/>
          <w:szCs w:val="24"/>
          <w:lang w:val="hr-HR"/>
        </w:rPr>
        <w:t>e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od prodaje nefinancijske imovine</w:t>
      </w:r>
      <w:r w:rsidR="004762F0">
        <w:rPr>
          <w:rFonts w:cs="Times New Roman"/>
          <w:color w:val="000000" w:themeColor="text1"/>
          <w:sz w:val="24"/>
          <w:szCs w:val="24"/>
          <w:lang w:val="hr-HR"/>
        </w:rPr>
        <w:t xml:space="preserve"> odnosi 14.036,00 EUR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Detaljniji prikaz izvršenja prihoda županijskog proračuna</w:t>
      </w:r>
      <w:r w:rsidR="004762F0">
        <w:rPr>
          <w:rFonts w:cs="Times New Roman"/>
          <w:color w:val="000000" w:themeColor="text1"/>
          <w:sz w:val="24"/>
          <w:szCs w:val="24"/>
          <w:lang w:val="hr-HR"/>
        </w:rPr>
        <w:t xml:space="preserve"> za razdoblje od 01.01. – 30.06.2025. godine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dan je u Tablici 2. </w:t>
      </w:r>
    </w:p>
    <w:p w14:paraId="6A5084A5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2DFDA89A" w14:textId="6FC0EB3F" w:rsidR="001C2019" w:rsidRPr="001C2019" w:rsidRDefault="001C2019" w:rsidP="00D745A0">
      <w:pPr>
        <w:jc w:val="center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Tablica 2. Struktura izvršenja prihoda (županijski dio)</w:t>
      </w:r>
    </w:p>
    <w:p w14:paraId="01D3FD05" w14:textId="77777777" w:rsidR="001C2019" w:rsidRPr="001C2019" w:rsidRDefault="001C2019" w:rsidP="001C2019">
      <w:pPr>
        <w:ind w:left="7440"/>
        <w:contextualSpacing/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3C9E5B65" w14:textId="7BCE73CD" w:rsidR="001C2019" w:rsidRPr="001C2019" w:rsidRDefault="001C7C8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7C89">
        <w:rPr>
          <w:noProof/>
        </w:rPr>
        <w:drawing>
          <wp:inline distT="0" distB="0" distL="0" distR="0" wp14:anchorId="3AFFEFDA" wp14:editId="331BA9E1">
            <wp:extent cx="5760720" cy="3369310"/>
            <wp:effectExtent l="0" t="0" r="0" b="2540"/>
            <wp:docPr id="150649086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6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4FC79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7FF68312" w14:textId="05D3CF84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Prihode poslovanja Krapinsko-zagorske županije čine prihodi od poreza, pomoći iz inozemstva i od subjekata unutar općeg proračuna, prihodi od imovine, prihodi od upravnih i administrativnih pristojbi, pristojbi po posebnim propisima i naknada, prihodi od prodaje proizvoda i roba te pruženih usluga i ostali prihodi. Najveći udio u ukupnim prihodima u </w:t>
      </w:r>
      <w:r w:rsidR="003F360E">
        <w:rPr>
          <w:rFonts w:cs="Times New Roman"/>
          <w:color w:val="000000" w:themeColor="text1"/>
          <w:sz w:val="24"/>
          <w:szCs w:val="24"/>
          <w:lang w:val="hr-HR"/>
        </w:rPr>
        <w:t xml:space="preserve">razdoblju od 01.01. – 30.06.2025. godine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čine </w:t>
      </w:r>
      <w:r w:rsidR="003F360E">
        <w:rPr>
          <w:rFonts w:cs="Times New Roman"/>
          <w:color w:val="000000" w:themeColor="text1"/>
          <w:sz w:val="24"/>
          <w:szCs w:val="24"/>
          <w:lang w:val="hr-HR"/>
        </w:rPr>
        <w:t xml:space="preserve">prihodi od poreza u iznosu od 10.111.843,92 EUR, zatim slijede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iz inozemstva i od subjekata unutar općeg proračuna, i to </w:t>
      </w:r>
      <w:r w:rsidR="003F360E">
        <w:rPr>
          <w:rFonts w:cs="Times New Roman"/>
          <w:color w:val="000000" w:themeColor="text1"/>
          <w:sz w:val="24"/>
          <w:szCs w:val="24"/>
          <w:lang w:val="hr-HR"/>
        </w:rPr>
        <w:lastRenderedPageBreak/>
        <w:t>6.832.549,07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prihodi od imovine u iznosu od </w:t>
      </w:r>
      <w:r w:rsidR="003F360E">
        <w:rPr>
          <w:rFonts w:cs="Times New Roman"/>
          <w:color w:val="000000" w:themeColor="text1"/>
          <w:sz w:val="24"/>
          <w:szCs w:val="24"/>
          <w:lang w:val="hr-HR"/>
        </w:rPr>
        <w:t>171.240,80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prihodi od pristojbi i naknada u iznosu od </w:t>
      </w:r>
      <w:r w:rsidR="003F360E">
        <w:rPr>
          <w:rFonts w:cs="Times New Roman"/>
          <w:color w:val="000000" w:themeColor="text1"/>
          <w:sz w:val="24"/>
          <w:szCs w:val="24"/>
          <w:lang w:val="hr-HR"/>
        </w:rPr>
        <w:t>126.127,71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 ostali prihodi u iznosu od </w:t>
      </w:r>
      <w:r w:rsidR="003F360E">
        <w:rPr>
          <w:rFonts w:cs="Times New Roman"/>
          <w:color w:val="000000" w:themeColor="text1"/>
          <w:sz w:val="24"/>
          <w:szCs w:val="24"/>
          <w:lang w:val="hr-HR"/>
        </w:rPr>
        <w:t>335,00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EUR.</w:t>
      </w:r>
      <w:r w:rsidR="001C7C89">
        <w:rPr>
          <w:rFonts w:cs="Times New Roman"/>
          <w:color w:val="000000" w:themeColor="text1"/>
          <w:sz w:val="24"/>
          <w:szCs w:val="24"/>
          <w:lang w:val="hr-HR"/>
        </w:rPr>
        <w:t xml:space="preserve"> Prihodi od prodaje proizvedene dugotrajne imovine iznose 14.036,00 EUR.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Realizacija prihoda u </w:t>
      </w:r>
      <w:r w:rsidR="002760E1">
        <w:rPr>
          <w:rFonts w:cs="Times New Roman"/>
          <w:color w:val="000000" w:themeColor="text1"/>
          <w:sz w:val="24"/>
          <w:szCs w:val="24"/>
          <w:lang w:val="hr-HR"/>
        </w:rPr>
        <w:t>razdoblju od 01.01. – 30.06.2025. godine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predstavlja </w:t>
      </w:r>
      <w:r w:rsidR="002760E1">
        <w:rPr>
          <w:rFonts w:cs="Times New Roman"/>
          <w:color w:val="000000" w:themeColor="text1"/>
          <w:sz w:val="24"/>
          <w:szCs w:val="24"/>
          <w:lang w:val="hr-HR"/>
        </w:rPr>
        <w:t>20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godišnjeg plana. </w:t>
      </w:r>
    </w:p>
    <w:p w14:paraId="2F0F56EE" w14:textId="77777777" w:rsidR="001C2019" w:rsidRPr="001C2019" w:rsidRDefault="001C2019" w:rsidP="001C2019">
      <w:pPr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7A86B901" w14:textId="2E89F48A" w:rsidR="001C2019" w:rsidRPr="001C2019" w:rsidRDefault="001C2019" w:rsidP="001C2019">
      <w:pPr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Ostvareni županijski prihodi u </w:t>
      </w:r>
      <w:r w:rsidR="002760E1">
        <w:rPr>
          <w:rFonts w:cs="Times New Roman"/>
          <w:color w:val="000000" w:themeColor="text1"/>
          <w:sz w:val="24"/>
          <w:szCs w:val="24"/>
          <w:lang w:val="hr-HR"/>
        </w:rPr>
        <w:t xml:space="preserve">razdoblju od 01.01. – 30.06.2025. godine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iznose </w:t>
      </w:r>
      <w:r w:rsidR="00A96759">
        <w:rPr>
          <w:rFonts w:cs="Times New Roman"/>
          <w:color w:val="000000" w:themeColor="text1"/>
          <w:sz w:val="24"/>
          <w:szCs w:val="24"/>
          <w:lang w:val="hr-HR"/>
        </w:rPr>
        <w:t>17.256.132,50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a prema izvorima financiranja dijele se kako slijedi: </w:t>
      </w:r>
    </w:p>
    <w:p w14:paraId="1D7465AF" w14:textId="77777777" w:rsidR="001C2019" w:rsidRPr="001C2019" w:rsidRDefault="001C2019" w:rsidP="001C2019">
      <w:pPr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957"/>
        <w:gridCol w:w="1984"/>
      </w:tblGrid>
      <w:tr w:rsidR="001C2019" w:rsidRPr="001C2019" w14:paraId="2F4A6C97" w14:textId="77777777" w:rsidTr="007D4D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4957" w:type="dxa"/>
          </w:tcPr>
          <w:p w14:paraId="156DAA0B" w14:textId="77777777" w:rsidR="001C2019" w:rsidRPr="001C2019" w:rsidRDefault="001C2019" w:rsidP="001C2019">
            <w:pPr>
              <w:ind w:left="0"/>
              <w:jc w:val="left"/>
              <w:rPr>
                <w:rFonts w:cs="Times New Roman"/>
                <w:b w:val="0"/>
                <w:bCs/>
                <w:color w:val="000000" w:themeColor="text1"/>
                <w:lang w:val="hr-HR"/>
              </w:rPr>
            </w:pPr>
            <w:bookmarkStart w:id="2" w:name="_Hlk205896884"/>
            <w:r w:rsidRPr="001C2019">
              <w:rPr>
                <w:rFonts w:cs="Times New Roman"/>
                <w:b w:val="0"/>
                <w:bCs/>
                <w:color w:val="000000" w:themeColor="text1"/>
                <w:lang w:val="hr-HR"/>
              </w:rPr>
              <w:t>Izvor 1.1. Opći prihodi i primici</w:t>
            </w:r>
          </w:p>
        </w:tc>
        <w:tc>
          <w:tcPr>
            <w:tcW w:w="1984" w:type="dxa"/>
          </w:tcPr>
          <w:p w14:paraId="2B2115B4" w14:textId="5DC16704" w:rsidR="001C2019" w:rsidRPr="001C2019" w:rsidRDefault="002760E1" w:rsidP="001C2019">
            <w:pPr>
              <w:jc w:val="right"/>
              <w:rPr>
                <w:rFonts w:cs="Times New Roman"/>
                <w:b w:val="0"/>
                <w:bCs/>
                <w:color w:val="000000" w:themeColor="text1"/>
                <w:lang w:val="hr-HR"/>
              </w:rPr>
            </w:pPr>
            <w:r>
              <w:rPr>
                <w:rFonts w:cs="Times New Roman"/>
                <w:b w:val="0"/>
                <w:bCs/>
                <w:color w:val="000000" w:themeColor="text1"/>
                <w:lang w:val="hr-HR"/>
              </w:rPr>
              <w:t>8.837.300,39</w:t>
            </w:r>
          </w:p>
        </w:tc>
      </w:tr>
      <w:tr w:rsidR="001C2019" w:rsidRPr="001C2019" w14:paraId="2DA8A412" w14:textId="77777777" w:rsidTr="007D4D1F">
        <w:trPr>
          <w:jc w:val="center"/>
        </w:trPr>
        <w:tc>
          <w:tcPr>
            <w:tcW w:w="4957" w:type="dxa"/>
          </w:tcPr>
          <w:p w14:paraId="55349A4C" w14:textId="77777777" w:rsidR="001C2019" w:rsidRPr="001C2019" w:rsidRDefault="001C2019" w:rsidP="001C2019">
            <w:pPr>
              <w:ind w:left="0"/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Izvor 1.3. Decentralizacija</w:t>
            </w:r>
          </w:p>
        </w:tc>
        <w:tc>
          <w:tcPr>
            <w:tcW w:w="1984" w:type="dxa"/>
          </w:tcPr>
          <w:p w14:paraId="5E102D59" w14:textId="482DACC1" w:rsidR="001C2019" w:rsidRPr="001C2019" w:rsidRDefault="002760E1" w:rsidP="001C2019">
            <w:pPr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3.417.193,34</w:t>
            </w:r>
          </w:p>
        </w:tc>
      </w:tr>
      <w:tr w:rsidR="001C2019" w:rsidRPr="001C2019" w14:paraId="24EAC241" w14:textId="77777777" w:rsidTr="007D4D1F">
        <w:trPr>
          <w:jc w:val="center"/>
        </w:trPr>
        <w:tc>
          <w:tcPr>
            <w:tcW w:w="4957" w:type="dxa"/>
          </w:tcPr>
          <w:p w14:paraId="39AB203B" w14:textId="77777777" w:rsidR="001C2019" w:rsidRPr="001C2019" w:rsidRDefault="001C2019" w:rsidP="001C2019">
            <w:pPr>
              <w:ind w:left="0"/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Izvor 1.4. Decentralizacija – prenamjena - potres</w:t>
            </w:r>
          </w:p>
        </w:tc>
        <w:tc>
          <w:tcPr>
            <w:tcW w:w="1984" w:type="dxa"/>
          </w:tcPr>
          <w:p w14:paraId="75003B2A" w14:textId="4D24D08C" w:rsidR="001C2019" w:rsidRPr="001C2019" w:rsidRDefault="002760E1" w:rsidP="001C2019">
            <w:pPr>
              <w:ind w:left="0"/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2.362.660,38</w:t>
            </w:r>
          </w:p>
        </w:tc>
      </w:tr>
      <w:tr w:rsidR="001C2019" w:rsidRPr="001C2019" w14:paraId="2E6170BE" w14:textId="77777777" w:rsidTr="007D4D1F">
        <w:trPr>
          <w:jc w:val="center"/>
        </w:trPr>
        <w:tc>
          <w:tcPr>
            <w:tcW w:w="4957" w:type="dxa"/>
          </w:tcPr>
          <w:p w14:paraId="035FD19E" w14:textId="77777777" w:rsidR="001C2019" w:rsidRPr="001C2019" w:rsidRDefault="001C2019" w:rsidP="001C2019">
            <w:pPr>
              <w:ind w:left="0"/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Izvor 3.1. Vlastiti prihodi</w:t>
            </w:r>
          </w:p>
        </w:tc>
        <w:tc>
          <w:tcPr>
            <w:tcW w:w="1984" w:type="dxa"/>
          </w:tcPr>
          <w:p w14:paraId="0DF941E4" w14:textId="6A5DBF35" w:rsidR="001C2019" w:rsidRPr="001C2019" w:rsidRDefault="00A96759" w:rsidP="001C2019">
            <w:pPr>
              <w:ind w:left="0"/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20.994,86</w:t>
            </w:r>
          </w:p>
        </w:tc>
      </w:tr>
      <w:tr w:rsidR="001C2019" w:rsidRPr="001C2019" w14:paraId="5EAB6788" w14:textId="77777777" w:rsidTr="007D4D1F">
        <w:trPr>
          <w:jc w:val="center"/>
        </w:trPr>
        <w:tc>
          <w:tcPr>
            <w:tcW w:w="4957" w:type="dxa"/>
          </w:tcPr>
          <w:p w14:paraId="6B2EE33E" w14:textId="77777777" w:rsidR="001C2019" w:rsidRPr="001C2019" w:rsidRDefault="001C2019" w:rsidP="001C2019">
            <w:pPr>
              <w:ind w:left="0"/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Izvor 4.3. Prihodi za posebne namjene</w:t>
            </w:r>
          </w:p>
        </w:tc>
        <w:tc>
          <w:tcPr>
            <w:tcW w:w="1984" w:type="dxa"/>
          </w:tcPr>
          <w:p w14:paraId="00D0A089" w14:textId="389ED974" w:rsidR="001C2019" w:rsidRPr="001C2019" w:rsidRDefault="00CA1023" w:rsidP="001C2019">
            <w:pPr>
              <w:ind w:left="0"/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11.131,36</w:t>
            </w:r>
          </w:p>
        </w:tc>
      </w:tr>
      <w:tr w:rsidR="001C2019" w:rsidRPr="001C2019" w14:paraId="56576972" w14:textId="77777777" w:rsidTr="007D4D1F">
        <w:trPr>
          <w:jc w:val="center"/>
        </w:trPr>
        <w:tc>
          <w:tcPr>
            <w:tcW w:w="4957" w:type="dxa"/>
          </w:tcPr>
          <w:p w14:paraId="70AFBC59" w14:textId="77777777" w:rsidR="001C2019" w:rsidRPr="001C2019" w:rsidRDefault="001C2019" w:rsidP="001C2019">
            <w:pPr>
              <w:ind w:left="0"/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Izvor 5.2. Ministarstvo</w:t>
            </w:r>
          </w:p>
        </w:tc>
        <w:tc>
          <w:tcPr>
            <w:tcW w:w="1984" w:type="dxa"/>
          </w:tcPr>
          <w:p w14:paraId="20D995E0" w14:textId="2D40C415" w:rsidR="001C2019" w:rsidRPr="001C2019" w:rsidRDefault="00CA1023" w:rsidP="001C2019">
            <w:pPr>
              <w:ind w:left="0"/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1.360.435,00</w:t>
            </w:r>
          </w:p>
        </w:tc>
      </w:tr>
      <w:tr w:rsidR="001C2019" w:rsidRPr="001C2019" w14:paraId="568F7226" w14:textId="77777777" w:rsidTr="007D4D1F">
        <w:trPr>
          <w:jc w:val="center"/>
        </w:trPr>
        <w:tc>
          <w:tcPr>
            <w:tcW w:w="4957" w:type="dxa"/>
          </w:tcPr>
          <w:p w14:paraId="1E146D42" w14:textId="77777777" w:rsidR="001C2019" w:rsidRPr="001C2019" w:rsidRDefault="001C2019" w:rsidP="001C2019">
            <w:pPr>
              <w:ind w:left="0"/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Izvor 5.4. JLS</w:t>
            </w:r>
          </w:p>
        </w:tc>
        <w:tc>
          <w:tcPr>
            <w:tcW w:w="1984" w:type="dxa"/>
          </w:tcPr>
          <w:p w14:paraId="10B04D3A" w14:textId="78A44E57" w:rsidR="001C2019" w:rsidRPr="001C2019" w:rsidRDefault="00CA1023" w:rsidP="001C2019">
            <w:pPr>
              <w:ind w:left="0"/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611.105,33</w:t>
            </w:r>
          </w:p>
        </w:tc>
      </w:tr>
      <w:tr w:rsidR="001C2019" w:rsidRPr="001C2019" w14:paraId="3D6D9719" w14:textId="77777777" w:rsidTr="007D4D1F">
        <w:trPr>
          <w:jc w:val="center"/>
        </w:trPr>
        <w:tc>
          <w:tcPr>
            <w:tcW w:w="4957" w:type="dxa"/>
          </w:tcPr>
          <w:p w14:paraId="581B11F7" w14:textId="77777777" w:rsidR="001C2019" w:rsidRPr="001C2019" w:rsidRDefault="001C2019" w:rsidP="001C2019">
            <w:pPr>
              <w:ind w:left="0"/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Izvor 5.5. Fond</w:t>
            </w:r>
          </w:p>
        </w:tc>
        <w:tc>
          <w:tcPr>
            <w:tcW w:w="1984" w:type="dxa"/>
          </w:tcPr>
          <w:p w14:paraId="218D1BBB" w14:textId="64A785EF" w:rsidR="001C2019" w:rsidRPr="001C2019" w:rsidRDefault="00CA1023" w:rsidP="001C2019">
            <w:pPr>
              <w:ind w:left="0"/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33.060,13</w:t>
            </w:r>
          </w:p>
        </w:tc>
      </w:tr>
      <w:tr w:rsidR="001C2019" w:rsidRPr="001C2019" w14:paraId="7CDB5564" w14:textId="77777777" w:rsidTr="007D4D1F">
        <w:trPr>
          <w:jc w:val="center"/>
        </w:trPr>
        <w:tc>
          <w:tcPr>
            <w:tcW w:w="4957" w:type="dxa"/>
          </w:tcPr>
          <w:p w14:paraId="304A5C78" w14:textId="77777777" w:rsidR="001C2019" w:rsidRPr="001C2019" w:rsidRDefault="001C2019" w:rsidP="001C2019">
            <w:pPr>
              <w:ind w:left="0"/>
              <w:rPr>
                <w:rFonts w:cs="Times New Roman"/>
                <w:color w:val="000000" w:themeColor="text1"/>
                <w:lang w:val="hr-HR"/>
              </w:rPr>
            </w:pPr>
            <w:r w:rsidRPr="001C2019">
              <w:rPr>
                <w:rFonts w:cs="Times New Roman"/>
                <w:color w:val="000000" w:themeColor="text1"/>
                <w:lang w:val="hr-HR"/>
              </w:rPr>
              <w:t>Izvor 5.7. Ministarstvo – prijenos EU</w:t>
            </w:r>
          </w:p>
        </w:tc>
        <w:tc>
          <w:tcPr>
            <w:tcW w:w="1984" w:type="dxa"/>
          </w:tcPr>
          <w:p w14:paraId="2FCA3EE3" w14:textId="79B511CA" w:rsidR="001C2019" w:rsidRPr="001C2019" w:rsidRDefault="00CA1023" w:rsidP="001C2019">
            <w:pPr>
              <w:ind w:left="0"/>
              <w:jc w:val="right"/>
              <w:rPr>
                <w:rFonts w:cs="Times New Roman"/>
                <w:color w:val="000000" w:themeColor="text1"/>
                <w:lang w:val="hr-HR"/>
              </w:rPr>
            </w:pPr>
            <w:r>
              <w:rPr>
                <w:rFonts w:cs="Times New Roman"/>
                <w:color w:val="000000" w:themeColor="text1"/>
                <w:lang w:val="hr-HR"/>
              </w:rPr>
              <w:t>602.251,71</w:t>
            </w:r>
          </w:p>
        </w:tc>
      </w:tr>
      <w:bookmarkEnd w:id="2"/>
    </w:tbl>
    <w:p w14:paraId="0127F1B3" w14:textId="77777777" w:rsidR="001C2019" w:rsidRPr="001C2019" w:rsidRDefault="001C2019" w:rsidP="001C2019">
      <w:pPr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74700CD5" w14:textId="1E93CF52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U nastavku prikazana je struktura prihoda prema izvorima financiranja u </w:t>
      </w:r>
      <w:r w:rsidR="003D4C3D">
        <w:rPr>
          <w:rFonts w:cs="Times New Roman"/>
          <w:color w:val="000000" w:themeColor="text1"/>
          <w:sz w:val="24"/>
          <w:szCs w:val="24"/>
          <w:lang w:val="hr-HR"/>
        </w:rPr>
        <w:t>razdoblju od 01.01. – 30.06.2025. godine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putem grafičkog prikaza (Grafikon 1.).</w:t>
      </w:r>
    </w:p>
    <w:p w14:paraId="09A9390D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B1E49E9" w14:textId="77777777" w:rsidR="003D4C3D" w:rsidRDefault="001C2019" w:rsidP="001C2019">
      <w:pPr>
        <w:jc w:val="center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Grafikon 1. Struktura prihoda prema izvorima financiranja </w:t>
      </w:r>
    </w:p>
    <w:p w14:paraId="3BFE5581" w14:textId="53889DE5" w:rsidR="001C2019" w:rsidRPr="001C2019" w:rsidRDefault="003D4C3D" w:rsidP="001C2019">
      <w:pPr>
        <w:jc w:val="center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u razdoblju od 01.01.-30.06.2025. godine</w:t>
      </w:r>
    </w:p>
    <w:p w14:paraId="27230F08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07045F3B" w14:textId="76E35828" w:rsidR="001C2019" w:rsidRPr="001C2019" w:rsidRDefault="008C07D3" w:rsidP="001C2019">
      <w:pPr>
        <w:jc w:val="center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noProof/>
          <w:color w:val="000000" w:themeColor="text1"/>
          <w:sz w:val="24"/>
          <w:szCs w:val="24"/>
          <w:lang w:val="hr-HR"/>
        </w:rPr>
        <w:drawing>
          <wp:inline distT="0" distB="0" distL="0" distR="0" wp14:anchorId="3DB6408A" wp14:editId="5E6F157B">
            <wp:extent cx="5200650" cy="3110227"/>
            <wp:effectExtent l="0" t="0" r="0" b="0"/>
            <wp:docPr id="190607647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387" cy="31154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C60C2F" w14:textId="77777777" w:rsidR="001C2019" w:rsidRPr="001C2019" w:rsidRDefault="001C2019" w:rsidP="001C2019">
      <w:pPr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41CE584B" w14:textId="37248E55" w:rsidR="001C2019" w:rsidRPr="001C2019" w:rsidRDefault="001C2019" w:rsidP="001C2019">
      <w:pPr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>Iz grafikona je vidljivo da najveći udio u strukturi prihoda po izvorima financiranja čine opći prihodi i primici s 5</w:t>
      </w:r>
      <w:r w:rsidR="00130333">
        <w:rPr>
          <w:rFonts w:cs="Times New Roman"/>
          <w:color w:val="000000" w:themeColor="text1"/>
          <w:sz w:val="24"/>
          <w:szCs w:val="24"/>
          <w:lang w:val="hr-HR"/>
        </w:rPr>
        <w:t>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%, zatim slijedi decentralizacija s </w:t>
      </w:r>
      <w:r w:rsidR="00130333">
        <w:rPr>
          <w:rFonts w:cs="Times New Roman"/>
          <w:color w:val="000000" w:themeColor="text1"/>
          <w:sz w:val="24"/>
          <w:szCs w:val="24"/>
          <w:lang w:val="hr-HR"/>
        </w:rPr>
        <w:t>20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%, decentralizacija-prenamjena potres s 14%, </w:t>
      </w:r>
      <w:r w:rsidR="00130333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iz ministarstva s </w:t>
      </w:r>
      <w:r w:rsidR="00130333">
        <w:rPr>
          <w:rFonts w:cs="Times New Roman"/>
          <w:color w:val="000000" w:themeColor="text1"/>
          <w:sz w:val="24"/>
          <w:szCs w:val="24"/>
          <w:lang w:val="hr-HR"/>
        </w:rPr>
        <w:t>8</w:t>
      </w:r>
      <w:r w:rsidR="00130333" w:rsidRPr="001C2019">
        <w:rPr>
          <w:rFonts w:cs="Times New Roman"/>
          <w:color w:val="000000" w:themeColor="text1"/>
          <w:sz w:val="24"/>
          <w:szCs w:val="24"/>
          <w:lang w:val="hr-HR"/>
        </w:rPr>
        <w:t>%</w:t>
      </w:r>
      <w:r w:rsidR="00130333">
        <w:rPr>
          <w:rFonts w:cs="Times New Roman"/>
          <w:color w:val="000000" w:themeColor="text1"/>
          <w:sz w:val="24"/>
          <w:szCs w:val="24"/>
          <w:lang w:val="hr-HR"/>
        </w:rPr>
        <w:t xml:space="preserve">,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iz EU s </w:t>
      </w:r>
      <w:r w:rsidR="00130333"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</w:t>
      </w:r>
      <w:r w:rsidR="00130333">
        <w:rPr>
          <w:rFonts w:cs="Times New Roman"/>
          <w:color w:val="000000" w:themeColor="text1"/>
          <w:sz w:val="24"/>
          <w:szCs w:val="24"/>
          <w:lang w:val="hr-HR"/>
        </w:rPr>
        <w:t>, pomoći od jedinica lokalne samouprave s 4%.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Ostali prihodi čine oko </w:t>
      </w:r>
      <w:r w:rsidR="00130333">
        <w:rPr>
          <w:rFonts w:cs="Times New Roman"/>
          <w:color w:val="000000" w:themeColor="text1"/>
          <w:sz w:val="24"/>
          <w:szCs w:val="24"/>
          <w:lang w:val="hr-HR"/>
        </w:rPr>
        <w:t>0,4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%, a odnose se na BZ potres, pomoći – Hrvatske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lastRenderedPageBreak/>
        <w:t xml:space="preserve">vode, jedinice lokalne samouprave, Fond za zaštitu okoliša i energetsku učinkovitost i vlastite prihode.  </w:t>
      </w:r>
    </w:p>
    <w:p w14:paraId="1A598509" w14:textId="77777777" w:rsidR="00130333" w:rsidRDefault="00130333" w:rsidP="001C2019">
      <w:pPr>
        <w:contextualSpacing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2D19547D" w14:textId="1551BB78" w:rsidR="001C2019" w:rsidRPr="001C2019" w:rsidRDefault="001C2019" w:rsidP="001C2019">
      <w:pPr>
        <w:contextualSpacing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Rashodi poslovanja (konsolidirani proračun)</w:t>
      </w:r>
    </w:p>
    <w:p w14:paraId="3FCB0F6F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6C1BEEDC" w14:textId="5D387459" w:rsidR="001C2019" w:rsidRPr="001C2019" w:rsidRDefault="00F862DF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 xml:space="preserve">U razdoblju od 01.01. – 30.06.2025. godine Krapinsko-zagorska županija i njezini proračunski ostvarili su ukupne rashode poslovanja i rashode za nabavu nefinancijske imovine u iznosu od 94.685.721,06 EUR. </w:t>
      </w:r>
      <w:r w:rsidR="001C2019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Detaljnija obrazloženja strukture rashoda prikazana su u nastavku. </w:t>
      </w:r>
    </w:p>
    <w:p w14:paraId="06A77073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5B365CE8" w14:textId="0A92767D" w:rsidR="0047637D" w:rsidRPr="00D745A0" w:rsidRDefault="001C2019" w:rsidP="00D745A0">
      <w:pPr>
        <w:jc w:val="center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Tablica 3. Struktura izvršenja rashoda (konsolidirani Proračun)</w:t>
      </w:r>
    </w:p>
    <w:p w14:paraId="2B7E2237" w14:textId="79DFD7D1" w:rsidR="00F862DF" w:rsidRPr="001C2019" w:rsidRDefault="00F862DF" w:rsidP="00F862DF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tbl>
      <w:tblPr>
        <w:tblW w:w="9240" w:type="dxa"/>
        <w:tblLook w:val="04A0" w:firstRow="1" w:lastRow="0" w:firstColumn="1" w:lastColumn="0" w:noHBand="0" w:noVBand="1"/>
      </w:tblPr>
      <w:tblGrid>
        <w:gridCol w:w="1696"/>
        <w:gridCol w:w="266"/>
        <w:gridCol w:w="1366"/>
        <w:gridCol w:w="1466"/>
        <w:gridCol w:w="1466"/>
        <w:gridCol w:w="1366"/>
        <w:gridCol w:w="1033"/>
        <w:gridCol w:w="928"/>
      </w:tblGrid>
      <w:tr w:rsidR="00F862DF" w:rsidRPr="00F862DF" w14:paraId="7CF635BC" w14:textId="77777777" w:rsidTr="00F862DF">
        <w:trPr>
          <w:trHeight w:val="615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0F35A85" w14:textId="77777777" w:rsidR="00F862DF" w:rsidRPr="00F862DF" w:rsidRDefault="00F862DF" w:rsidP="00F862DF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Brojčana oznaka i naziv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2E45F2F" w14:textId="77777777" w:rsidR="00F862DF" w:rsidRPr="00F862DF" w:rsidRDefault="00F862DF" w:rsidP="00F862DF">
            <w:pPr>
              <w:suppressAutoHyphens w:val="0"/>
              <w:jc w:val="center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E2450C2" w14:textId="77777777" w:rsidR="00F862DF" w:rsidRPr="00F862DF" w:rsidRDefault="00F862DF" w:rsidP="00F862DF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Izvršenje 2024.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23B15A4" w14:textId="77777777" w:rsidR="00F862DF" w:rsidRPr="00F862DF" w:rsidRDefault="00F862DF" w:rsidP="00F862DF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Izvorni plan 2025.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BA1576" w14:textId="77777777" w:rsidR="00F862DF" w:rsidRPr="00F862DF" w:rsidRDefault="00F862DF" w:rsidP="00F862DF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Tekući plan 2025.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0D62462" w14:textId="77777777" w:rsidR="00F862DF" w:rsidRPr="00F862DF" w:rsidRDefault="00F862DF" w:rsidP="00F862DF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Izvršenje 2025.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23EBF9C" w14:textId="77777777" w:rsidR="00F862DF" w:rsidRPr="00F862DF" w:rsidRDefault="00F862DF" w:rsidP="00F862DF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Indeks  4/1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C498EC1" w14:textId="77777777" w:rsidR="00F862DF" w:rsidRPr="00F862DF" w:rsidRDefault="00F862DF" w:rsidP="00F862DF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Indeks  4/3</w:t>
            </w:r>
          </w:p>
        </w:tc>
      </w:tr>
      <w:tr w:rsidR="00F862DF" w:rsidRPr="00F862DF" w14:paraId="5D52ABFC" w14:textId="77777777" w:rsidTr="00F862DF">
        <w:trPr>
          <w:trHeight w:val="2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87346" w14:textId="77777777" w:rsidR="00F862DF" w:rsidRPr="00F862DF" w:rsidRDefault="00F862DF" w:rsidP="00F862DF">
            <w:pPr>
              <w:suppressAutoHyphens w:val="0"/>
              <w:rPr>
                <w:rFonts w:cs="Times New Roman"/>
                <w:b/>
                <w:bCs/>
                <w:i/>
                <w:i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i/>
                <w:iCs/>
                <w:lang w:val="hr-HR" w:eastAsia="hr-HR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AEF38" w14:textId="77777777" w:rsidR="00F862DF" w:rsidRPr="00F862DF" w:rsidRDefault="00F862DF" w:rsidP="00F862DF">
            <w:pPr>
              <w:suppressAutoHyphens w:val="0"/>
              <w:jc w:val="center"/>
              <w:rPr>
                <w:rFonts w:cs="Times New Roman"/>
                <w:b/>
                <w:bCs/>
                <w:i/>
                <w:i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i/>
                <w:iCs/>
                <w:lang w:val="hr-HR" w:eastAsia="hr-HR"/>
              </w:rPr>
              <w:t>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7DFF4" w14:textId="77777777" w:rsidR="00F862DF" w:rsidRPr="00F862DF" w:rsidRDefault="00F862DF" w:rsidP="00F862DF">
            <w:pPr>
              <w:suppressAutoHyphens w:val="0"/>
              <w:jc w:val="center"/>
              <w:rPr>
                <w:rFonts w:cs="Times New Roman"/>
                <w:b/>
                <w:bCs/>
                <w:i/>
                <w:i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i/>
                <w:iCs/>
                <w:lang w:val="hr-HR" w:eastAsia="hr-HR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77EB6" w14:textId="77777777" w:rsidR="00F862DF" w:rsidRPr="00F862DF" w:rsidRDefault="00F862DF" w:rsidP="00F862DF">
            <w:pPr>
              <w:suppressAutoHyphens w:val="0"/>
              <w:jc w:val="center"/>
              <w:rPr>
                <w:rFonts w:cs="Times New Roman"/>
                <w:b/>
                <w:bCs/>
                <w:i/>
                <w:i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i/>
                <w:iCs/>
                <w:lang w:val="hr-HR" w:eastAsia="hr-HR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4FB9D" w14:textId="77777777" w:rsidR="00F862DF" w:rsidRPr="00F862DF" w:rsidRDefault="00F862DF" w:rsidP="00F862DF">
            <w:pPr>
              <w:suppressAutoHyphens w:val="0"/>
              <w:jc w:val="center"/>
              <w:rPr>
                <w:rFonts w:cs="Times New Roman"/>
                <w:b/>
                <w:bCs/>
                <w:i/>
                <w:i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i/>
                <w:iCs/>
                <w:lang w:val="hr-HR" w:eastAsia="hr-HR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5744E" w14:textId="77777777" w:rsidR="00F862DF" w:rsidRPr="00F862DF" w:rsidRDefault="00F862DF" w:rsidP="00F862DF">
            <w:pPr>
              <w:suppressAutoHyphens w:val="0"/>
              <w:jc w:val="center"/>
              <w:rPr>
                <w:rFonts w:cs="Times New Roman"/>
                <w:b/>
                <w:bCs/>
                <w:i/>
                <w:i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i/>
                <w:iCs/>
                <w:lang w:val="hr-HR" w:eastAsia="hr-HR"/>
              </w:rPr>
              <w:t>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B85A4" w14:textId="77777777" w:rsidR="00F862DF" w:rsidRPr="00F862DF" w:rsidRDefault="00F862DF" w:rsidP="00F862DF">
            <w:pPr>
              <w:suppressAutoHyphens w:val="0"/>
              <w:jc w:val="center"/>
              <w:rPr>
                <w:rFonts w:cs="Times New Roman"/>
                <w:b/>
                <w:bCs/>
                <w:i/>
                <w:i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i/>
                <w:iCs/>
                <w:lang w:val="hr-HR" w:eastAsia="hr-HR"/>
              </w:rPr>
              <w:t>6</w:t>
            </w:r>
          </w:p>
        </w:tc>
      </w:tr>
      <w:tr w:rsidR="00F862DF" w:rsidRPr="00F862DF" w14:paraId="2EACFB9A" w14:textId="77777777" w:rsidTr="00F862DF">
        <w:trPr>
          <w:trHeight w:val="30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9CC05B" w14:textId="77777777" w:rsidR="00F862DF" w:rsidRPr="00F862DF" w:rsidRDefault="00F862DF" w:rsidP="00F862DF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3 Rashodi poslovanja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8C4CC8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78.438.647,58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A79D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184.146.328,60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CFDC48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184.121.328,60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42871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84.482.526,84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4EAB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107,71%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ECA61A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45,88%</w:t>
            </w:r>
          </w:p>
        </w:tc>
      </w:tr>
      <w:tr w:rsidR="00F862DF" w:rsidRPr="00F862DF" w14:paraId="4BD5BEFE" w14:textId="77777777" w:rsidTr="00F862DF">
        <w:trPr>
          <w:trHeight w:val="5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D19B6" w14:textId="77777777" w:rsidR="00F862DF" w:rsidRPr="00F862DF" w:rsidRDefault="00F862DF" w:rsidP="00F862DF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31 Rashodi za zaposlene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041FE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53.776.222,92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C0962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126.129.876,16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DFB3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126.039.876,16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AB2FAA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63.609.978,53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07FE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118,29%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48619E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50,47%</w:t>
            </w:r>
          </w:p>
        </w:tc>
      </w:tr>
      <w:tr w:rsidR="00F862DF" w:rsidRPr="00F862DF" w14:paraId="6FDCD0F0" w14:textId="77777777" w:rsidTr="00F862DF">
        <w:trPr>
          <w:trHeight w:val="30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0CF2E2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311 Plaće (Bruto)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CEB56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44.971.485,37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12CA9A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32BA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F220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53.517.592,99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293764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119,00%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ED0CA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20CA004C" w14:textId="77777777" w:rsidTr="00F862DF">
        <w:trPr>
          <w:trHeight w:val="5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87530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312 Ostali rashodi za zaposlene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C4586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1.981.287,46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812AF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9DF48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7A4A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2.073.353,49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D53A5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104,65%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B1B7A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5C7E5BA9" w14:textId="77777777" w:rsidTr="00F862DF">
        <w:trPr>
          <w:trHeight w:val="30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7A2972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313 Doprinosi na plaće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94B8FA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6.823.450,09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9425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3AC2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0EB4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8.019.032,05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ECDC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117,52%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69DE3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1992849E" w14:textId="77777777" w:rsidTr="00F862DF">
        <w:trPr>
          <w:trHeight w:val="5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F5C60" w14:textId="77777777" w:rsidR="00F862DF" w:rsidRPr="00F862DF" w:rsidRDefault="00F862DF" w:rsidP="00F862DF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32 Materijalni rashodi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7C3F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15.504.477,23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869728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37.429.266,20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18FB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37.449.266,20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2D2BE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15.400.076,32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EBA18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99,33%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FD3F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41,12%</w:t>
            </w:r>
          </w:p>
        </w:tc>
      </w:tr>
      <w:tr w:rsidR="00F862DF" w:rsidRPr="00F862DF" w14:paraId="0563AA85" w14:textId="77777777" w:rsidTr="00F862DF">
        <w:trPr>
          <w:trHeight w:val="5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6607D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321 Naknade troškova zaposlenima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E0730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2.142.665,46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8ADCE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20736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F81FC4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2.340.405,34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78B0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109,23%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CD69E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6A029D33" w14:textId="77777777" w:rsidTr="00F862DF">
        <w:trPr>
          <w:trHeight w:val="5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15242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322 Rashodi za materijal i energiju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0D92A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5.095.619,32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0FBD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A773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B77F4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4.324.430,05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5ADE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84,87%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EC22DF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4DA7936E" w14:textId="77777777" w:rsidTr="00F862DF">
        <w:trPr>
          <w:trHeight w:val="30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5A5B7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323 Rashodi za usluge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C31E7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4.651.654,81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73C16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CF3E0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B291A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5.353.521,85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B4716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115,09%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6F8E0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29D2E49C" w14:textId="77777777" w:rsidTr="00F862DF">
        <w:trPr>
          <w:trHeight w:val="78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FBF59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324 Naknade troškova osobama izvan radnog odnosa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C91C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142.847,35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A0331E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D5BA8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0879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117.261,33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3F2D9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82,09%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C58D8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4B4B6541" w14:textId="77777777" w:rsidTr="00F862DF">
        <w:trPr>
          <w:trHeight w:val="102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8FE7B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325 Rashodi lijekova i potrošnog medicinskog materijala kod zdravstvenih ustanova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764EF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8242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ED0D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8EB3A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1.120.183,02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8DF41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0,00%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8FC1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0F229CBE" w14:textId="77777777" w:rsidTr="00F862DF">
        <w:trPr>
          <w:trHeight w:val="5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84E39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329 Ostali nespomenuti rashodi poslovanja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DB1DA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3.471.690,29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CED88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165A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4A88F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2.144.274,73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32BF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61,76%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AC7DF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635B91C0" w14:textId="77777777" w:rsidTr="00F862DF">
        <w:trPr>
          <w:trHeight w:val="30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E3D9A0" w14:textId="77777777" w:rsidR="00F862DF" w:rsidRPr="00F862DF" w:rsidRDefault="00F862DF" w:rsidP="00F862DF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34 Financijski rashodi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0963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178.636,91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303DB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409.045,12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BD292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409.045,12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E02DB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173.356,38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474F1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97,04%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B26F1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42,38%</w:t>
            </w:r>
          </w:p>
        </w:tc>
      </w:tr>
      <w:tr w:rsidR="00F862DF" w:rsidRPr="00F862DF" w14:paraId="3F1321E1" w14:textId="77777777" w:rsidTr="00F862DF">
        <w:trPr>
          <w:trHeight w:val="5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F363E4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342 Kamate za primljene kredite i zajmove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C064E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95.512,35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9ACE6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EE219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C3AB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90.379,86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608B3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94,63%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8A30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04B2CAEE" w14:textId="77777777" w:rsidTr="00F862DF">
        <w:trPr>
          <w:trHeight w:val="5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78283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343 Ostali financijski rashodi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26CA43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83.124,56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A2AAF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B433D8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5CF1F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82.976,52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7901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99,82%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F5BD4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080D0C96" w14:textId="77777777" w:rsidTr="00F862DF">
        <w:trPr>
          <w:trHeight w:val="30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1FCA0D" w14:textId="77777777" w:rsidR="00F862DF" w:rsidRPr="00F862DF" w:rsidRDefault="00F862DF" w:rsidP="00F862DF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35 Subvencije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973A6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567.382,18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8478E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1.371.590,00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CDC6AA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1.371.590,00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B247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476.506,48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22E9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83,98%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11B9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34,74%</w:t>
            </w:r>
          </w:p>
        </w:tc>
      </w:tr>
      <w:tr w:rsidR="00F862DF" w:rsidRPr="00F862DF" w14:paraId="217C9B56" w14:textId="77777777" w:rsidTr="00F862DF">
        <w:trPr>
          <w:trHeight w:val="129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A892F5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lastRenderedPageBreak/>
              <w:t>351 Subvencije kreditnim i ostalim financijskim institucijama i trgovačkim društvima u javnom sektoru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AB14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27.347,69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0E9BA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75058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61823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41.292,52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CDCCC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150,99%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5C2B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5E59BB0C" w14:textId="77777777" w:rsidTr="00F862DF">
        <w:trPr>
          <w:trHeight w:val="1515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600171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352 Subvencije kreditnim i financijskim institucijama, trgovačkim društvima, zadrugama, poljoprivrednici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2425A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478.405,81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5CDE4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78633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83287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435.213,96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B373B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90,97%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BB05E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373D6794" w14:textId="77777777" w:rsidTr="00F862DF">
        <w:trPr>
          <w:trHeight w:val="126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99E57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353 Subvencije trgovačkim društvima, zadrugama, poljoprivrednicima i obrtnicima iz EU sredstava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C476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61.628,68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CCF9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34366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8253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58D5B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0,00%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AED4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5B4D7745" w14:textId="77777777" w:rsidTr="00F862DF">
        <w:trPr>
          <w:trHeight w:val="78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BB67BD" w14:textId="77777777" w:rsidR="00F862DF" w:rsidRPr="00F862DF" w:rsidRDefault="00F862DF" w:rsidP="00F862DF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36 Pomoći dane u inozemstvo i unutar općeg proračuna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87A8B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4.347.062,34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60FD6E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2.976.431,49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7233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3.028.931,49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F3FB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322.270,49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7CFD1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7,41%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0552F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10,64%</w:t>
            </w:r>
          </w:p>
        </w:tc>
      </w:tr>
      <w:tr w:rsidR="00F862DF" w:rsidRPr="00F862DF" w14:paraId="444D9ED4" w14:textId="77777777" w:rsidTr="00F862DF">
        <w:trPr>
          <w:trHeight w:val="5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E57738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361 Pomoći inozemnim vladama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1B816E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262.668,08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1038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30E5C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EAC7D3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00B1AA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0,00%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C693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0DAA1D57" w14:textId="77777777" w:rsidTr="00F862DF">
        <w:trPr>
          <w:trHeight w:val="102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303CE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363 Pomoći drugom proračunu i izvanproračunskim korisnicima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5D90A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480.250,00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4415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6C090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A39B53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215.569,88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A9F23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44,89%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7CF5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31075472" w14:textId="77777777" w:rsidTr="00F862DF">
        <w:trPr>
          <w:trHeight w:val="105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45943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366 Pomoći proračunskim korisnicima drugih proračuna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1443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74.013,22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B1F85F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9235E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2B574F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106.085,86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12A7F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143,33%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817D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770A2ADA" w14:textId="77777777" w:rsidTr="00F862DF">
        <w:trPr>
          <w:trHeight w:val="5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F5BE1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368 Pomoći temeljem prijenosa EU sredstava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47EA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299.687,45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AFA0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069038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79E98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BF69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0,00%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F3894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04D31B7E" w14:textId="77777777" w:rsidTr="00F862DF">
        <w:trPr>
          <w:trHeight w:val="78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1AEA06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369 Prijenosi između proračunskih korisnika istog proračuna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0D9B3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3.230.443,59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FC629F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0493F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E6EDC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614,75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3C906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0,02%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BD62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362FA9EF" w14:textId="77777777" w:rsidTr="00F862DF">
        <w:trPr>
          <w:trHeight w:val="1275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D26047" w14:textId="77777777" w:rsidR="00F862DF" w:rsidRPr="00F862DF" w:rsidRDefault="00F862DF" w:rsidP="00F862DF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37 Naknade građanima i kućanstvima na temelju osiguranja i druge naknade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C463C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2.281.266,30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496EA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5.658.066,95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E961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5.590.566,95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1507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2.269.495,20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8CA1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99,48%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0D7434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40,60%</w:t>
            </w:r>
          </w:p>
        </w:tc>
      </w:tr>
      <w:tr w:rsidR="00F862DF" w:rsidRPr="00F862DF" w14:paraId="3E364A8A" w14:textId="77777777" w:rsidTr="00F862DF">
        <w:trPr>
          <w:trHeight w:val="78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9714C2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372 Ostale naknade građanima i kućanstvima iz proračuna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44CA4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2.281.266,30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FCF43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31A42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2E1D4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2.269.495,20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E594E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99,48%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C4F6A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472E0674" w14:textId="77777777" w:rsidTr="00F862DF">
        <w:trPr>
          <w:trHeight w:val="105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677FC" w14:textId="77777777" w:rsidR="00F862DF" w:rsidRPr="00F862DF" w:rsidRDefault="00F862DF" w:rsidP="00F862DF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38 Rashodi za donacije, kazne, naknade šteta i kapitalne pomoći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5CEF3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1.783.599,70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A0EFEE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10.172.052,68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16B6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10.232.052,68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2153F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2.230.843,44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9FCC0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125,08%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630E7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21,80%</w:t>
            </w:r>
          </w:p>
        </w:tc>
      </w:tr>
      <w:tr w:rsidR="00F862DF" w:rsidRPr="00F862DF" w14:paraId="3ED24712" w14:textId="77777777" w:rsidTr="00F862DF">
        <w:trPr>
          <w:trHeight w:val="30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A5E37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381 Tekuće donacije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BD482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1.017.421,01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6211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B135A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4BCAF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1.840.352,12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75E1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180,88%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D07983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5F2EC933" w14:textId="77777777" w:rsidTr="00F862DF">
        <w:trPr>
          <w:trHeight w:val="30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D4506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lastRenderedPageBreak/>
              <w:t>382 Kapitalne donacije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4DB598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750.169,05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3C6DD3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DF6D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28E7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262.474,78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10DB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34,99%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87AE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30547897" w14:textId="77777777" w:rsidTr="00F862DF">
        <w:trPr>
          <w:trHeight w:val="5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9A40A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383 Kazne, penali i naknade štete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6C66F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1.997,16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37700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D0D4D8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22D53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61.554,02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18E3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3082,08%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A7FC4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061D5A36" w14:textId="77777777" w:rsidTr="00F862DF">
        <w:trPr>
          <w:trHeight w:val="30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31265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386 Kapitalne pomoći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0588D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14.012,48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5FFD1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C6843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8D28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66.462,52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1F03E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474,31%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1A5AE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1F851B52" w14:textId="77777777" w:rsidTr="00F862DF">
        <w:trPr>
          <w:trHeight w:val="5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A6F62" w14:textId="77777777" w:rsidR="00F862DF" w:rsidRPr="00F862DF" w:rsidRDefault="00F862DF" w:rsidP="00F862DF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4 Rashodi za nabavu nefinancijske imovine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2FCB0F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2.907.902,90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8DCABA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91.155.392,41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A717F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91.180.392,41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F22C3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10.203.194,22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59058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350,88%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AF636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11,19%</w:t>
            </w:r>
          </w:p>
        </w:tc>
      </w:tr>
      <w:tr w:rsidR="00F862DF" w:rsidRPr="00F862DF" w14:paraId="2F406D31" w14:textId="77777777" w:rsidTr="00F862DF">
        <w:trPr>
          <w:trHeight w:val="78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5D58E" w14:textId="77777777" w:rsidR="00F862DF" w:rsidRPr="00F862DF" w:rsidRDefault="00F862DF" w:rsidP="00F862DF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41 Rashodi za nabavu neproizvedene dugotrajne imovine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8E8E5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67.224,16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F76CB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185.002,90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23213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185.002,90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7BFF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36.657,63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C685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54,53%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C4E3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19,81%</w:t>
            </w:r>
          </w:p>
        </w:tc>
      </w:tr>
      <w:tr w:rsidR="00F862DF" w:rsidRPr="00F862DF" w14:paraId="0A9E79AC" w14:textId="77777777" w:rsidTr="00F862DF">
        <w:trPr>
          <w:trHeight w:val="5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55A9BDE7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411 Materijalna imovina - prirodna bogatstva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BE71D3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65.864,10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C596A3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D4D0E6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02E95B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32FAA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0,00%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CC5C83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5C263CBA" w14:textId="77777777" w:rsidTr="00F862DF">
        <w:trPr>
          <w:trHeight w:val="5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AE6E0F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412 Nematerijalna imovina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C1269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1.360,06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F2537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993B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49B0A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36.657,63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5C9404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2695,30%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A73EEF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6EAB1487" w14:textId="77777777" w:rsidTr="00F862DF">
        <w:trPr>
          <w:trHeight w:val="78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4869C" w14:textId="77777777" w:rsidR="00F862DF" w:rsidRPr="00F862DF" w:rsidRDefault="00F862DF" w:rsidP="00F862DF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42 Rashodi za nabavu proizvedene dugotrajne imovine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DCDCBF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2.046.808,20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0D6F91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17.170.817,71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7DE1E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17.178.317,71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4FEE5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4.835.095,89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76C1B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236,23%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2621E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28,15%</w:t>
            </w:r>
          </w:p>
        </w:tc>
      </w:tr>
      <w:tr w:rsidR="00F862DF" w:rsidRPr="00F862DF" w14:paraId="0B137808" w14:textId="77777777" w:rsidTr="00F862DF">
        <w:trPr>
          <w:trHeight w:val="30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F7428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421 Građevinski objekti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7F8C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1.471.336,91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EFA06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8FBB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0D633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3.951.312,66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46BA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268,55%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C2DFE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404FD844" w14:textId="77777777" w:rsidTr="00F862DF">
        <w:trPr>
          <w:trHeight w:val="5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094DD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422 Postrojenja i oprema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BA07A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409.438,29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8390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0405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14D6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798.701,00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355B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195,07%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D0E0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2B028272" w14:textId="77777777" w:rsidTr="00F862DF">
        <w:trPr>
          <w:trHeight w:val="30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288B9C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423 Prijevozna sredstva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0B084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150.511,58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0B7C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97490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85AA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30.671,56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A370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20,38%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BD94CE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2AB981DA" w14:textId="77777777" w:rsidTr="00F862DF">
        <w:trPr>
          <w:trHeight w:val="78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532090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424 Knjige, umjetnička djela i ostale izložbene vrijednosti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15034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4.520,72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BF29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67A5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90A40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28.666,23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1E934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634,11%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8C342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4B288548" w14:textId="77777777" w:rsidTr="00F862DF">
        <w:trPr>
          <w:trHeight w:val="5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75F57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426 Nematerijalna proizvedena imovina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14998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11.000,70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0146E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8E68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18DA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25.744,44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235498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234,03%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7135C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1FFFC039" w14:textId="77777777" w:rsidTr="00F862DF">
        <w:trPr>
          <w:trHeight w:val="78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8DF644" w14:textId="77777777" w:rsidR="00F862DF" w:rsidRPr="00F862DF" w:rsidRDefault="00F862DF" w:rsidP="00F862DF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45 Rashodi za dodatna ulaganja na nefinancijskoj imovini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2D8A1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793.870,54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8344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73.799.571,80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B6FE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73.817.071,80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0A33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5.331.440,70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18A82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671,58%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B72CC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62DF">
              <w:rPr>
                <w:rFonts w:cs="Times New Roman"/>
                <w:b/>
                <w:bCs/>
                <w:lang w:val="hr-HR" w:eastAsia="hr-HR"/>
              </w:rPr>
              <w:t>7,22%</w:t>
            </w:r>
          </w:p>
        </w:tc>
      </w:tr>
      <w:tr w:rsidR="00F862DF" w:rsidRPr="00F862DF" w14:paraId="1FB6E8C0" w14:textId="77777777" w:rsidTr="00F862DF">
        <w:trPr>
          <w:trHeight w:val="78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7E0274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451 Dodatna ulaganja na građevinskim objektima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30FB6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739.719,53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28668B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2C614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5B01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5.318.198,40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1B03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718,95%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B0D3B7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59B27353" w14:textId="77777777" w:rsidTr="00F862DF">
        <w:trPr>
          <w:trHeight w:val="78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0BDC5A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452 Dodatna ulaganja na postrojenjima i opremi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1130ED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51.161,01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8ED1D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4BB23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5BF0A0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13.242,30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2B0BD5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25,88%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71BED3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  <w:tr w:rsidR="00F862DF" w:rsidRPr="00F862DF" w14:paraId="7FC2E1DD" w14:textId="77777777" w:rsidTr="00F862DF">
        <w:trPr>
          <w:trHeight w:val="78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FF2CB7" w14:textId="77777777" w:rsidR="00F862DF" w:rsidRPr="00F862DF" w:rsidRDefault="00F862DF" w:rsidP="00F862DF">
            <w:pPr>
              <w:suppressAutoHyphens w:val="0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454 Dodatna ulaganja za ostalu nefinancijsku imovinu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63421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2.990,00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B75D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4EB96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9EA698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9EB89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0,00%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7DCA34" w14:textId="77777777" w:rsidR="00F862DF" w:rsidRPr="00F862DF" w:rsidRDefault="00F862DF" w:rsidP="00F862DF">
            <w:pPr>
              <w:suppressAutoHyphens w:val="0"/>
              <w:jc w:val="right"/>
              <w:rPr>
                <w:rFonts w:cs="Times New Roman"/>
                <w:color w:val="000000"/>
                <w:lang w:val="hr-HR" w:eastAsia="hr-HR"/>
              </w:rPr>
            </w:pPr>
            <w:r w:rsidRPr="00F862DF">
              <w:rPr>
                <w:rFonts w:cs="Times New Roman"/>
                <w:color w:val="000000"/>
                <w:lang w:val="hr-HR" w:eastAsia="hr-HR"/>
              </w:rPr>
              <w:t> </w:t>
            </w:r>
          </w:p>
        </w:tc>
      </w:tr>
    </w:tbl>
    <w:p w14:paraId="2B30CAB7" w14:textId="052D074F" w:rsidR="00F862DF" w:rsidRPr="001C2019" w:rsidRDefault="00F862DF" w:rsidP="00F862DF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5FD18E61" w14:textId="09DDA76D" w:rsidR="001C2019" w:rsidRPr="001C2019" w:rsidRDefault="001C2019" w:rsidP="00F862DF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53D61345" w14:textId="77777777" w:rsidR="00F862DF" w:rsidRDefault="00F862DF" w:rsidP="001C2019">
      <w:pPr>
        <w:tabs>
          <w:tab w:val="left" w:pos="3858"/>
        </w:tabs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</w:p>
    <w:p w14:paraId="71EBB906" w14:textId="77777777" w:rsidR="00F862DF" w:rsidRDefault="00F862DF" w:rsidP="001C2019">
      <w:pPr>
        <w:tabs>
          <w:tab w:val="left" w:pos="3858"/>
        </w:tabs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</w:p>
    <w:p w14:paraId="009EE8CC" w14:textId="77777777" w:rsidR="00F862DF" w:rsidRDefault="00F862DF" w:rsidP="001C2019">
      <w:pPr>
        <w:tabs>
          <w:tab w:val="left" w:pos="3858"/>
        </w:tabs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</w:p>
    <w:p w14:paraId="4C3C8421" w14:textId="77777777" w:rsidR="00F862DF" w:rsidRDefault="00F862DF" w:rsidP="001C2019">
      <w:pPr>
        <w:tabs>
          <w:tab w:val="left" w:pos="3858"/>
        </w:tabs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</w:p>
    <w:p w14:paraId="1C355D3D" w14:textId="77777777" w:rsidR="00F862DF" w:rsidRDefault="00F862DF" w:rsidP="001C2019">
      <w:pPr>
        <w:tabs>
          <w:tab w:val="left" w:pos="3858"/>
        </w:tabs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</w:p>
    <w:p w14:paraId="055014A8" w14:textId="48A5D050" w:rsidR="001C2019" w:rsidRPr="001C2019" w:rsidRDefault="001C2019" w:rsidP="001C2019">
      <w:pPr>
        <w:tabs>
          <w:tab w:val="left" w:pos="3858"/>
        </w:tabs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lastRenderedPageBreak/>
        <w:t>Rashodi za zaposlene (konto 31)</w:t>
      </w:r>
    </w:p>
    <w:p w14:paraId="6C351658" w14:textId="77777777" w:rsidR="001C2019" w:rsidRPr="001C2019" w:rsidRDefault="001C2019" w:rsidP="001C2019">
      <w:pPr>
        <w:tabs>
          <w:tab w:val="left" w:pos="3858"/>
        </w:tabs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ab/>
      </w:r>
    </w:p>
    <w:p w14:paraId="4BA71957" w14:textId="70610ACF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Rashodi za zaposlene realizirani su u iznosu od </w:t>
      </w:r>
      <w:r w:rsidR="00F862DF">
        <w:rPr>
          <w:rFonts w:cs="Times New Roman"/>
          <w:color w:val="000000" w:themeColor="text1"/>
          <w:sz w:val="24"/>
          <w:szCs w:val="24"/>
          <w:lang w:val="hr-HR"/>
        </w:rPr>
        <w:t>63.609.978,53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EUR. U odnosu na 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veći su za </w:t>
      </w:r>
      <w:r w:rsidR="00127065">
        <w:rPr>
          <w:rFonts w:cs="Times New Roman"/>
          <w:color w:val="000000" w:themeColor="text1"/>
          <w:sz w:val="24"/>
          <w:szCs w:val="24"/>
          <w:lang w:val="hr-HR"/>
        </w:rPr>
        <w:t>9.833.755,61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127065">
        <w:rPr>
          <w:rFonts w:cs="Times New Roman"/>
          <w:color w:val="000000" w:themeColor="text1"/>
          <w:sz w:val="24"/>
          <w:szCs w:val="24"/>
          <w:lang w:val="hr-HR"/>
        </w:rPr>
        <w:t>18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648403AF" w14:textId="4A845910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311 Plaće (bruto) – </w:t>
      </w:r>
      <w:r w:rsidR="00127065">
        <w:rPr>
          <w:rFonts w:cs="Times New Roman"/>
          <w:color w:val="000000" w:themeColor="text1"/>
          <w:sz w:val="24"/>
          <w:szCs w:val="24"/>
          <w:u w:val="single"/>
          <w:lang w:val="hr-HR"/>
        </w:rPr>
        <w:t>53.517.592,99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  <w:r w:rsidR="00127065" w:rsidRPr="00127065">
        <w:rPr>
          <w:rFonts w:cs="Times New Roman"/>
          <w:color w:val="EE0000"/>
          <w:sz w:val="24"/>
          <w:szCs w:val="24"/>
          <w:u w:val="single"/>
          <w:lang w:val="hr-HR"/>
        </w:rPr>
        <w:t xml:space="preserve"> </w:t>
      </w:r>
    </w:p>
    <w:p w14:paraId="378E2BB0" w14:textId="0A7A57DA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Plaće u iznosu od </w:t>
      </w:r>
      <w:r w:rsidR="0030193F">
        <w:rPr>
          <w:rFonts w:cs="Times New Roman"/>
          <w:color w:val="000000" w:themeColor="text1"/>
          <w:sz w:val="24"/>
          <w:szCs w:val="24"/>
          <w:lang w:val="hr-HR"/>
        </w:rPr>
        <w:t>2.549.863,97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plaće  za redovan rad, plaće u naravi i  plaće za prekovremeni rad.</w:t>
      </w:r>
    </w:p>
    <w:p w14:paraId="642ED3FB" w14:textId="44E9A97A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Plaće u iznosu od </w:t>
      </w:r>
      <w:r w:rsidR="0030193F">
        <w:rPr>
          <w:rFonts w:cs="Times New Roman"/>
          <w:color w:val="000000" w:themeColor="text1"/>
          <w:sz w:val="24"/>
          <w:szCs w:val="24"/>
          <w:lang w:val="hr-HR"/>
        </w:rPr>
        <w:t>50.967.729,02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</w:t>
      </w:r>
    </w:p>
    <w:p w14:paraId="7387243D" w14:textId="77777777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>plaće za redovan rad, plaće u naravi, plaće za prekovremeni rad i plaća za posebne uvjete rada.</w:t>
      </w:r>
    </w:p>
    <w:p w14:paraId="2286331F" w14:textId="127AB6BD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30193F">
        <w:rPr>
          <w:rFonts w:cs="Times New Roman"/>
          <w:color w:val="000000" w:themeColor="text1"/>
          <w:sz w:val="24"/>
          <w:szCs w:val="24"/>
          <w:lang w:val="hr-HR"/>
        </w:rPr>
        <w:t>51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1163E297" w14:textId="3EC734F5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312 Ostali rashodi za zaposlene – </w:t>
      </w:r>
      <w:r w:rsidR="0030193F">
        <w:rPr>
          <w:rFonts w:cs="Times New Roman"/>
          <w:color w:val="000000" w:themeColor="text1"/>
          <w:sz w:val="24"/>
          <w:szCs w:val="24"/>
          <w:u w:val="single"/>
          <w:lang w:val="hr-HR"/>
        </w:rPr>
        <w:t>2.073.353,49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3FF8626B" w14:textId="27CD0D97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Ostali rashodi za zaposlene u iznosu od </w:t>
      </w:r>
      <w:r w:rsidR="0030193F">
        <w:rPr>
          <w:rFonts w:cs="Times New Roman"/>
          <w:color w:val="000000" w:themeColor="text1"/>
          <w:sz w:val="24"/>
          <w:szCs w:val="24"/>
          <w:lang w:val="hr-HR"/>
        </w:rPr>
        <w:t>268.914,71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ostala materijalna prava zaposlenika (nagrade, darovi, naknade za bolest, invalidnost i smrtni slučaj, regres za godišnji odbor, naknada za topli obrok i sl.).</w:t>
      </w:r>
    </w:p>
    <w:p w14:paraId="4F85728E" w14:textId="64B33410" w:rsidR="0030193F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Ostali rashodi za zaposlene u iznosu od </w:t>
      </w:r>
      <w:r w:rsidR="0030193F">
        <w:rPr>
          <w:rFonts w:cs="Times New Roman"/>
          <w:color w:val="000000" w:themeColor="text1"/>
          <w:sz w:val="24"/>
          <w:szCs w:val="24"/>
          <w:lang w:val="hr-HR"/>
        </w:rPr>
        <w:t>1.804.438,78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ostala materijalna prava zaposlenika.</w:t>
      </w:r>
      <w:r w:rsidR="0030193F" w:rsidRPr="0030193F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</w:p>
    <w:p w14:paraId="760729FE" w14:textId="6DB3CE1B" w:rsidR="001C2019" w:rsidRPr="001C2019" w:rsidRDefault="0030193F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43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0BE2FB06" w14:textId="16E3E183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09"/>
        <w:contextualSpacing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313 Doprinosi na plaće – </w:t>
      </w:r>
      <w:r w:rsidR="0030193F">
        <w:rPr>
          <w:rFonts w:cs="Times New Roman"/>
          <w:color w:val="000000" w:themeColor="text1"/>
          <w:sz w:val="24"/>
          <w:szCs w:val="24"/>
          <w:u w:val="single"/>
          <w:lang w:val="hr-HR"/>
        </w:rPr>
        <w:t>8.019.032,05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1DC4D180" w14:textId="240FADA0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Doprinosi na plaće u iznosu od </w:t>
      </w:r>
      <w:r w:rsidR="0030193F">
        <w:rPr>
          <w:rFonts w:cs="Times New Roman"/>
          <w:color w:val="000000" w:themeColor="text1"/>
          <w:sz w:val="24"/>
          <w:szCs w:val="24"/>
          <w:lang w:val="hr-HR"/>
        </w:rPr>
        <w:t>391.547,51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doprinose za obvezno zdravstveno osiguranje.</w:t>
      </w:r>
    </w:p>
    <w:p w14:paraId="22A5D772" w14:textId="10431BC4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Doprinosi na plaće u iznosu od </w:t>
      </w:r>
      <w:r w:rsidR="0030193F">
        <w:rPr>
          <w:rFonts w:cs="Times New Roman"/>
          <w:color w:val="000000" w:themeColor="text1"/>
          <w:sz w:val="24"/>
          <w:szCs w:val="24"/>
          <w:lang w:val="hr-HR"/>
        </w:rPr>
        <w:t>7.627.484,54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doprinose za mirovinsko osiguranje, doprinose za zdravstveno osiguranje i doprinose za obvezno osiguranje u slučaju nezaposlenosti.</w:t>
      </w:r>
    </w:p>
    <w:p w14:paraId="4F46EFE1" w14:textId="3B4538B8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30193F">
        <w:rPr>
          <w:rFonts w:cs="Times New Roman"/>
          <w:color w:val="000000" w:themeColor="text1"/>
          <w:sz w:val="24"/>
          <w:szCs w:val="24"/>
          <w:lang w:val="hr-HR"/>
        </w:rPr>
        <w:t>50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6F6D5ECE" w14:textId="77777777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48809A01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>Materijalni rashodi (konto 32)</w:t>
      </w:r>
    </w:p>
    <w:p w14:paraId="08A0F26E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2181262D" w14:textId="25A5BA12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Materijalni rashodi realizirani su u iznosu od </w:t>
      </w:r>
      <w:r w:rsidR="006C12B1">
        <w:rPr>
          <w:rFonts w:cs="Times New Roman"/>
          <w:color w:val="000000" w:themeColor="text1"/>
          <w:sz w:val="24"/>
          <w:szCs w:val="24"/>
          <w:lang w:val="hr-HR"/>
        </w:rPr>
        <w:t>15.400.076,32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</w:t>
      </w:r>
      <w:r w:rsidR="006C12B1">
        <w:rPr>
          <w:rFonts w:cs="Times New Roman"/>
          <w:color w:val="000000" w:themeColor="text1"/>
          <w:sz w:val="24"/>
          <w:szCs w:val="24"/>
          <w:lang w:val="hr-HR"/>
        </w:rPr>
        <w:t>41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manji su za </w:t>
      </w:r>
      <w:r w:rsidR="006C12B1">
        <w:rPr>
          <w:rFonts w:cs="Times New Roman"/>
          <w:color w:val="000000" w:themeColor="text1"/>
          <w:sz w:val="24"/>
          <w:szCs w:val="24"/>
          <w:lang w:val="hr-HR"/>
        </w:rPr>
        <w:t>104.400,91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6C12B1">
        <w:rPr>
          <w:rFonts w:cs="Times New Roman"/>
          <w:color w:val="000000" w:themeColor="text1"/>
          <w:sz w:val="24"/>
          <w:szCs w:val="24"/>
          <w:lang w:val="hr-HR"/>
        </w:rPr>
        <w:t>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72A2595F" w14:textId="2BCE16AE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321 Naknade troškova zaposlenima – </w:t>
      </w:r>
      <w:r w:rsidR="006C12B1">
        <w:rPr>
          <w:rFonts w:cs="Times New Roman"/>
          <w:color w:val="000000" w:themeColor="text1"/>
          <w:sz w:val="24"/>
          <w:szCs w:val="24"/>
          <w:u w:val="single"/>
          <w:lang w:val="hr-HR"/>
        </w:rPr>
        <w:t>2.340.405,34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594B8739" w14:textId="506906AC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Naknade troškova zaposlenima u iznosu od </w:t>
      </w:r>
      <w:r w:rsidR="006C12B1">
        <w:rPr>
          <w:rFonts w:cs="Times New Roman"/>
          <w:color w:val="000000" w:themeColor="text1"/>
          <w:sz w:val="24"/>
          <w:szCs w:val="24"/>
          <w:lang w:val="hr-HR"/>
        </w:rPr>
        <w:t>643.312,77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službena putovanja, naknade za prijevoz, stručno usavršavanje zaposlenika i ostale naknade troškova zaposlenima.</w:t>
      </w:r>
    </w:p>
    <w:p w14:paraId="418F7D55" w14:textId="793664B7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Naknade troškova zaposlenima u iznosu od </w:t>
      </w:r>
      <w:r w:rsidR="006C12B1">
        <w:rPr>
          <w:rFonts w:cs="Times New Roman"/>
          <w:color w:val="000000" w:themeColor="text1"/>
          <w:sz w:val="24"/>
          <w:szCs w:val="24"/>
          <w:lang w:val="hr-HR"/>
        </w:rPr>
        <w:t>1.697.092,57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službena putovanja, naknade  za prijevoz, za rad na terenu i odvojeni život, stručno usavršavanje zaposlenika i ostale naknade troškova zaposlenima.</w:t>
      </w:r>
    </w:p>
    <w:p w14:paraId="38C807BC" w14:textId="6FE957FC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6C12B1">
        <w:rPr>
          <w:rFonts w:cs="Times New Roman"/>
          <w:color w:val="000000" w:themeColor="text1"/>
          <w:sz w:val="24"/>
          <w:szCs w:val="24"/>
          <w:lang w:val="hr-HR"/>
        </w:rPr>
        <w:t>48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6CDD99AD" w14:textId="2F7885E5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322 Rashodi za materijal i energiju – </w:t>
      </w:r>
      <w:r w:rsidR="00F7030B">
        <w:rPr>
          <w:rFonts w:cs="Times New Roman"/>
          <w:color w:val="000000" w:themeColor="text1"/>
          <w:sz w:val="24"/>
          <w:szCs w:val="24"/>
          <w:u w:val="single"/>
          <w:lang w:val="hr-HR"/>
        </w:rPr>
        <w:t>4.324.430,05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0C5D6EA6" w14:textId="1065829C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Rashodi za materijal i energiju u iznosu od </w:t>
      </w:r>
      <w:r w:rsidR="00F7030B">
        <w:rPr>
          <w:rFonts w:cs="Times New Roman"/>
          <w:color w:val="000000" w:themeColor="text1"/>
          <w:sz w:val="24"/>
          <w:szCs w:val="24"/>
          <w:lang w:val="hr-HR"/>
        </w:rPr>
        <w:t>1.214.220,49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uredski materijal, sirovine, energiju, materijal i dijelovi za tekuće i investicijsko održavanje, sitni inventar i auto gume, službenu, radnu i zaštitnu odjeću.</w:t>
      </w:r>
    </w:p>
    <w:p w14:paraId="776A7FE3" w14:textId="63EB5ED8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Rashodi za materijal i energiju u iznosu od </w:t>
      </w:r>
      <w:r w:rsidR="00F7030B">
        <w:rPr>
          <w:rFonts w:cs="Times New Roman"/>
          <w:color w:val="000000" w:themeColor="text1"/>
          <w:sz w:val="24"/>
          <w:szCs w:val="24"/>
          <w:lang w:val="hr-HR"/>
        </w:rPr>
        <w:t>3.110.209,56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uredski materijal, sirovine, energiju, materijal i dijelovi za tekuće i investicijsko održavanje, sitni inventar i auto gume, službenu, radnu i zaštitnu odjeću.</w:t>
      </w:r>
    </w:p>
    <w:p w14:paraId="4BB92066" w14:textId="3E57604E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F7030B">
        <w:rPr>
          <w:rFonts w:cs="Times New Roman"/>
          <w:color w:val="000000" w:themeColor="text1"/>
          <w:sz w:val="24"/>
          <w:szCs w:val="24"/>
          <w:lang w:val="hr-HR"/>
        </w:rPr>
        <w:t>42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181CC97D" w14:textId="2C237CA2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323 Rashodi za usluge – </w:t>
      </w:r>
      <w:r w:rsidR="00F7030B">
        <w:rPr>
          <w:rFonts w:cs="Times New Roman"/>
          <w:color w:val="000000" w:themeColor="text1"/>
          <w:sz w:val="24"/>
          <w:szCs w:val="24"/>
          <w:u w:val="single"/>
          <w:lang w:val="hr-HR"/>
        </w:rPr>
        <w:t>5.353.521,85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236A917C" w14:textId="55E2824F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lastRenderedPageBreak/>
        <w:t xml:space="preserve">Rashodi za usluge u iznosu od </w:t>
      </w:r>
      <w:r w:rsidR="00F7030B">
        <w:rPr>
          <w:rFonts w:cs="Times New Roman"/>
          <w:color w:val="000000" w:themeColor="text1"/>
          <w:sz w:val="24"/>
          <w:szCs w:val="24"/>
          <w:lang w:val="hr-HR"/>
        </w:rPr>
        <w:t>3.416.818,86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usluge telefona, pošte i prijevoza, usluge tekućeg i investicijskog održavanja, usluge promidžbe i informiranja, komunalne usluge, zakupnine i najamnine.</w:t>
      </w:r>
    </w:p>
    <w:p w14:paraId="4A5C0A0D" w14:textId="6D9657DF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Rashodi za usluge u iznosu od </w:t>
      </w:r>
      <w:r w:rsidR="00F7030B">
        <w:rPr>
          <w:rFonts w:cs="Times New Roman"/>
          <w:color w:val="000000" w:themeColor="text1"/>
          <w:sz w:val="24"/>
          <w:szCs w:val="24"/>
          <w:lang w:val="hr-HR"/>
        </w:rPr>
        <w:t>1.936.702,99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usluge telefona, pošta i prijevoza, usluge tekućeg i investicijskog održavanja, usluge promidžbe i informiranja, komunalne usluge, zakupnine i najamnine.</w:t>
      </w:r>
    </w:p>
    <w:p w14:paraId="47FA83EB" w14:textId="3AADF927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95607B">
        <w:rPr>
          <w:rFonts w:cs="Times New Roman"/>
          <w:color w:val="000000" w:themeColor="text1"/>
          <w:sz w:val="24"/>
          <w:szCs w:val="24"/>
          <w:lang w:val="hr-HR"/>
        </w:rPr>
        <w:t>47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70A39720" w14:textId="580EB837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324 Naknade troškova osobama izvan radnog odnosa – </w:t>
      </w:r>
      <w:r w:rsidR="00F7030B">
        <w:rPr>
          <w:rFonts w:cs="Times New Roman"/>
          <w:color w:val="000000" w:themeColor="text1"/>
          <w:sz w:val="24"/>
          <w:szCs w:val="24"/>
          <w:u w:val="single"/>
          <w:lang w:val="hr-HR"/>
        </w:rPr>
        <w:t>117.261,33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4EE98EC6" w14:textId="4E12727A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Naknade u iznosu od </w:t>
      </w:r>
      <w:r w:rsidR="00F7030B">
        <w:rPr>
          <w:rFonts w:cs="Times New Roman"/>
          <w:color w:val="000000" w:themeColor="text1"/>
          <w:sz w:val="24"/>
          <w:szCs w:val="24"/>
          <w:lang w:val="hr-HR"/>
        </w:rPr>
        <w:t>11.757,00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naknadu troškova osobama izvan radnog odnosa.</w:t>
      </w:r>
    </w:p>
    <w:p w14:paraId="71172E59" w14:textId="76F3E061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Naknade u iznosu od </w:t>
      </w:r>
      <w:r w:rsidR="00F7030B">
        <w:rPr>
          <w:rFonts w:cs="Times New Roman"/>
          <w:color w:val="000000" w:themeColor="text1"/>
          <w:sz w:val="24"/>
          <w:szCs w:val="24"/>
          <w:lang w:val="hr-HR"/>
        </w:rPr>
        <w:t>105.504,33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naknadu troškova osobama izvan radnog odnosa.</w:t>
      </w:r>
    </w:p>
    <w:p w14:paraId="215A062B" w14:textId="3A4836FC" w:rsid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F7030B">
        <w:rPr>
          <w:rFonts w:cs="Times New Roman"/>
          <w:color w:val="000000" w:themeColor="text1"/>
          <w:sz w:val="24"/>
          <w:szCs w:val="24"/>
          <w:lang w:val="hr-HR"/>
        </w:rPr>
        <w:t>45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5E09A2FA" w14:textId="78C07DC6" w:rsidR="00F7030B" w:rsidRPr="001C2019" w:rsidRDefault="00F7030B" w:rsidP="00F7030B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>32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5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Rashodi lijekova i potrošnog medicinskog materijala kod zdravstvenih ustanova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1.120.183,02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4668B0B1" w14:textId="5ED444DB" w:rsidR="00F7030B" w:rsidRPr="001C2019" w:rsidRDefault="00F7030B" w:rsidP="00F7030B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>Rashodi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>
        <w:rPr>
          <w:rFonts w:cs="Times New Roman"/>
          <w:color w:val="000000" w:themeColor="text1"/>
          <w:sz w:val="24"/>
          <w:szCs w:val="24"/>
          <w:lang w:val="hr-HR"/>
        </w:rPr>
        <w:t>se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odnose na proračunske korisnike</w:t>
      </w:r>
      <w:r w:rsidR="003D5FD6">
        <w:rPr>
          <w:rFonts w:cs="Times New Roman"/>
          <w:color w:val="000000" w:themeColor="text1"/>
          <w:sz w:val="24"/>
          <w:szCs w:val="24"/>
          <w:lang w:val="hr-HR"/>
        </w:rPr>
        <w:t xml:space="preserve"> kako slijedi: 198.820,06 EUR – Dom zdravlja Krapinsko-zagorske županije, 40.725,42 EUR – Specijalna bolnica Stubičke Toplice, 247.952,18 EUR – Zavod za javno zdravstvo, 632.685,36 EUR – Specijalna bolnica Krapinske Toplice.</w:t>
      </w:r>
    </w:p>
    <w:p w14:paraId="27137D22" w14:textId="7ADE5E77" w:rsidR="00F7030B" w:rsidRPr="001C2019" w:rsidRDefault="00F7030B" w:rsidP="00F7030B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66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15AB6096" w14:textId="456307E0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329 Ostali nespomenuti rashodi poslovanja – </w:t>
      </w:r>
      <w:r w:rsidR="003D5FD6">
        <w:rPr>
          <w:rFonts w:cs="Times New Roman"/>
          <w:color w:val="000000" w:themeColor="text1"/>
          <w:sz w:val="24"/>
          <w:szCs w:val="24"/>
          <w:u w:val="single"/>
          <w:lang w:val="hr-HR"/>
        </w:rPr>
        <w:t>2.144.274,73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6AA52079" w14:textId="019D6B48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Rashodi u iznosu od </w:t>
      </w:r>
      <w:r w:rsidR="003D5FD6">
        <w:rPr>
          <w:rFonts w:cs="Times New Roman"/>
          <w:color w:val="000000" w:themeColor="text1"/>
          <w:sz w:val="24"/>
          <w:szCs w:val="24"/>
          <w:lang w:val="hr-HR"/>
        </w:rPr>
        <w:t>1.729.417,77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naknade za rad predstavničkih i izvršnih tijela, povjerenstava i slično, rashodi za provođenje izbora (p</w:t>
      </w:r>
      <w:r w:rsidR="00B72687">
        <w:rPr>
          <w:rFonts w:cs="Times New Roman"/>
          <w:color w:val="000000" w:themeColor="text1"/>
          <w:sz w:val="24"/>
          <w:szCs w:val="24"/>
          <w:lang w:val="hr-HR"/>
        </w:rPr>
        <w:t>redsjednički i lokalni izbori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), premije osiguranja, reprezentacija, članarine, pristojbe i naknade, troškovi sudskih postupaka i ostali  nespomenuti rashodi poslovanja. </w:t>
      </w:r>
    </w:p>
    <w:p w14:paraId="5BDBB4D2" w14:textId="0E24E548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Rashodi u iznosu od </w:t>
      </w:r>
      <w:r w:rsidR="003D5FD6">
        <w:rPr>
          <w:rFonts w:cs="Times New Roman"/>
          <w:color w:val="000000" w:themeColor="text1"/>
          <w:sz w:val="24"/>
          <w:szCs w:val="24"/>
          <w:lang w:val="hr-HR"/>
        </w:rPr>
        <w:t>414.856,96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naknade za rad predstavničkih i izvršnih tijela, povjerenstava i slično, premije osiguranja, reprezentacija, članarine, pristojbe i naknade, troškovi sudskih postupaka i ostali  nespomenuti rashodi poslovanja</w:t>
      </w:r>
      <w:r w:rsidR="00A8270C">
        <w:rPr>
          <w:rFonts w:cs="Times New Roman"/>
          <w:color w:val="000000" w:themeColor="text1"/>
          <w:sz w:val="24"/>
          <w:szCs w:val="24"/>
          <w:lang w:val="hr-HR"/>
        </w:rPr>
        <w:t xml:space="preserve"> (</w:t>
      </w:r>
      <w:r w:rsidR="00D83CFD">
        <w:rPr>
          <w:rFonts w:cs="Times New Roman"/>
          <w:color w:val="000000" w:themeColor="text1"/>
          <w:sz w:val="24"/>
          <w:szCs w:val="24"/>
          <w:lang w:val="hr-HR"/>
        </w:rPr>
        <w:t>178.244,60</w:t>
      </w:r>
      <w:r w:rsidR="00A8270C">
        <w:rPr>
          <w:rFonts w:cs="Times New Roman"/>
          <w:color w:val="000000" w:themeColor="text1"/>
          <w:sz w:val="24"/>
          <w:szCs w:val="24"/>
          <w:lang w:val="hr-HR"/>
        </w:rPr>
        <w:t xml:space="preserve"> EUR – zdravstvene ustanove, 1.714,45 EUR – ustanove u socijalnoj skrbi, 234.897,91 EUR – ustanove u obrazovanju).</w:t>
      </w:r>
    </w:p>
    <w:p w14:paraId="16B4C797" w14:textId="29AFA98E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A8270C">
        <w:rPr>
          <w:rFonts w:cs="Times New Roman"/>
          <w:color w:val="000000" w:themeColor="text1"/>
          <w:sz w:val="24"/>
          <w:szCs w:val="24"/>
          <w:lang w:val="hr-HR"/>
        </w:rPr>
        <w:t>24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3059A387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79E34A4E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>Financijski rashodi (konto 34)</w:t>
      </w:r>
    </w:p>
    <w:p w14:paraId="1FA6917E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54284BB0" w14:textId="17E4B308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Financijski rashodi realizirani su u iznosu od </w:t>
      </w:r>
      <w:r w:rsidR="000106CB">
        <w:rPr>
          <w:rFonts w:cs="Times New Roman"/>
          <w:color w:val="000000" w:themeColor="text1"/>
          <w:sz w:val="24"/>
          <w:szCs w:val="24"/>
          <w:lang w:val="hr-HR"/>
        </w:rPr>
        <w:t>173.356,38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</w:t>
      </w:r>
      <w:r w:rsidR="000106CB">
        <w:rPr>
          <w:rFonts w:cs="Times New Roman"/>
          <w:color w:val="000000" w:themeColor="text1"/>
          <w:sz w:val="24"/>
          <w:szCs w:val="24"/>
          <w:lang w:val="hr-HR"/>
        </w:rPr>
        <w:t>42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manji su za </w:t>
      </w:r>
      <w:r w:rsidR="000106CB">
        <w:rPr>
          <w:rFonts w:cs="Times New Roman"/>
          <w:color w:val="000000" w:themeColor="text1"/>
          <w:sz w:val="24"/>
          <w:szCs w:val="24"/>
          <w:lang w:val="hr-HR"/>
        </w:rPr>
        <w:t>5.280,53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0106CB"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28EC92A1" w14:textId="0EBDF84F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342 Kamate na primljene kredite i zajmove – </w:t>
      </w:r>
      <w:r w:rsidR="000106CB">
        <w:rPr>
          <w:rFonts w:cs="Times New Roman"/>
          <w:color w:val="000000" w:themeColor="text1"/>
          <w:sz w:val="24"/>
          <w:szCs w:val="24"/>
          <w:u w:val="single"/>
          <w:lang w:val="hr-HR"/>
        </w:rPr>
        <w:t>90.379,86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16C1EF5A" w14:textId="7F3A47B2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Kamate u iznosu od </w:t>
      </w:r>
      <w:r w:rsidR="000106CB">
        <w:rPr>
          <w:rFonts w:cs="Times New Roman"/>
          <w:color w:val="000000" w:themeColor="text1"/>
          <w:sz w:val="24"/>
          <w:szCs w:val="24"/>
          <w:lang w:val="hr-HR"/>
        </w:rPr>
        <w:t>90.379,86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kamate za primljene kredite i zajmove od kreditnih i ostalih financijskih institucija izvan javnog sektora.</w:t>
      </w:r>
    </w:p>
    <w:p w14:paraId="29080067" w14:textId="2C0B8737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0106CB">
        <w:rPr>
          <w:rFonts w:cs="Times New Roman"/>
          <w:color w:val="000000" w:themeColor="text1"/>
          <w:sz w:val="24"/>
          <w:szCs w:val="24"/>
          <w:lang w:val="hr-HR"/>
        </w:rPr>
        <w:t>43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33042571" w14:textId="0F7AED51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343 Ostali financijski rashodi – </w:t>
      </w:r>
      <w:r w:rsidR="000106CB">
        <w:rPr>
          <w:rFonts w:cs="Times New Roman"/>
          <w:color w:val="000000" w:themeColor="text1"/>
          <w:sz w:val="24"/>
          <w:szCs w:val="24"/>
          <w:u w:val="single"/>
          <w:lang w:val="hr-HR"/>
        </w:rPr>
        <w:t>82.976,52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411D3877" w14:textId="6B7C9D00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Ostali financijski rashodi u iznosu od </w:t>
      </w:r>
      <w:r w:rsidR="000106CB">
        <w:rPr>
          <w:rFonts w:cs="Times New Roman"/>
          <w:color w:val="000000" w:themeColor="text1"/>
          <w:sz w:val="24"/>
          <w:szCs w:val="24"/>
          <w:lang w:val="hr-HR"/>
        </w:rPr>
        <w:t>26.922,47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bankarske usluge, usluge platnog prometa, negativne tečajne razlike i razlike zbog primjene valutne klauzule, zatezne kamate i ostale nespomenute financijske rashode.</w:t>
      </w:r>
    </w:p>
    <w:p w14:paraId="190C13F6" w14:textId="51F6EDAC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lastRenderedPageBreak/>
        <w:t xml:space="preserve">Ostali financijski rashodi u iznosu od </w:t>
      </w:r>
      <w:r w:rsidR="000106CB">
        <w:rPr>
          <w:rFonts w:cs="Times New Roman"/>
          <w:color w:val="000000" w:themeColor="text1"/>
          <w:sz w:val="24"/>
          <w:szCs w:val="24"/>
          <w:lang w:val="hr-HR"/>
        </w:rPr>
        <w:t>56.054,05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bankarske usluge, usluge platnog prometa, zatezne kamate i ostale nespomenute financijske rashode.</w:t>
      </w:r>
    </w:p>
    <w:p w14:paraId="7F6678F7" w14:textId="4F56B7E1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0106CB">
        <w:rPr>
          <w:rFonts w:cs="Times New Roman"/>
          <w:color w:val="000000" w:themeColor="text1"/>
          <w:sz w:val="24"/>
          <w:szCs w:val="24"/>
          <w:lang w:val="hr-HR"/>
        </w:rPr>
        <w:t>41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193B8934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</w:p>
    <w:p w14:paraId="1C0B51E8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>Subvencije (konto 35)</w:t>
      </w:r>
    </w:p>
    <w:p w14:paraId="7951E5BA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55E71677" w14:textId="3F3816F4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Subvencije su realizirane u iznosu od </w:t>
      </w:r>
      <w:r w:rsidR="000106CB">
        <w:rPr>
          <w:rFonts w:cs="Times New Roman"/>
          <w:color w:val="000000" w:themeColor="text1"/>
          <w:sz w:val="24"/>
          <w:szCs w:val="24"/>
          <w:lang w:val="hr-HR"/>
        </w:rPr>
        <w:t>476.506,48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</w:t>
      </w:r>
      <w:r w:rsidR="000106CB">
        <w:rPr>
          <w:rFonts w:cs="Times New Roman"/>
          <w:color w:val="000000" w:themeColor="text1"/>
          <w:sz w:val="24"/>
          <w:szCs w:val="24"/>
          <w:lang w:val="hr-HR"/>
        </w:rPr>
        <w:t>35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0106CB">
        <w:rPr>
          <w:rFonts w:cs="Times New Roman"/>
          <w:color w:val="000000" w:themeColor="text1"/>
          <w:sz w:val="24"/>
          <w:szCs w:val="24"/>
          <w:lang w:val="hr-HR"/>
        </w:rPr>
        <w:t>manji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 w:rsidR="000106CB">
        <w:rPr>
          <w:rFonts w:cs="Times New Roman"/>
          <w:color w:val="000000" w:themeColor="text1"/>
          <w:sz w:val="24"/>
          <w:szCs w:val="24"/>
          <w:lang w:val="hr-HR"/>
        </w:rPr>
        <w:t>90.875,70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0106CB">
        <w:rPr>
          <w:rFonts w:cs="Times New Roman"/>
          <w:color w:val="000000" w:themeColor="text1"/>
          <w:sz w:val="24"/>
          <w:szCs w:val="24"/>
          <w:lang w:val="hr-HR"/>
        </w:rPr>
        <w:t>16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1D55C3DA" w14:textId="317B014A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351 Subvencije trgovačkim društvima u javnom sektoru – </w:t>
      </w:r>
      <w:r w:rsidR="000106CB">
        <w:rPr>
          <w:rFonts w:cs="Times New Roman"/>
          <w:color w:val="000000" w:themeColor="text1"/>
          <w:sz w:val="24"/>
          <w:szCs w:val="24"/>
          <w:u w:val="single"/>
          <w:lang w:val="hr-HR"/>
        </w:rPr>
        <w:t>41.292,52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7E4735E4" w14:textId="0C7D4956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Subvencije u iznosu od </w:t>
      </w:r>
      <w:r w:rsidR="000106CB">
        <w:rPr>
          <w:rFonts w:cs="Times New Roman"/>
          <w:color w:val="000000" w:themeColor="text1"/>
          <w:sz w:val="24"/>
          <w:szCs w:val="24"/>
          <w:lang w:val="hr-HR"/>
        </w:rPr>
        <w:t>41.292,5</w:t>
      </w:r>
      <w:r w:rsidR="00561A0B">
        <w:rPr>
          <w:rFonts w:cs="Times New Roman"/>
          <w:color w:val="000000" w:themeColor="text1"/>
          <w:sz w:val="24"/>
          <w:szCs w:val="24"/>
          <w:lang w:val="hr-HR"/>
        </w:rPr>
        <w:t>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subvencije trgovačkim društvima u javnom sektoru (</w:t>
      </w:r>
      <w:r w:rsidR="00D378F2">
        <w:rPr>
          <w:rFonts w:cs="Times New Roman"/>
          <w:color w:val="000000" w:themeColor="text1"/>
          <w:sz w:val="24"/>
          <w:szCs w:val="24"/>
          <w:lang w:val="hr-HR"/>
        </w:rPr>
        <w:t>15.000,02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– Krapinsko-zagorski aerodrom, </w:t>
      </w:r>
      <w:r w:rsidR="00D378F2">
        <w:rPr>
          <w:rFonts w:cs="Times New Roman"/>
          <w:color w:val="000000" w:themeColor="text1"/>
          <w:sz w:val="24"/>
          <w:szCs w:val="24"/>
          <w:lang w:val="hr-HR"/>
        </w:rPr>
        <w:t>8.997,00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– Integrirani promet zagrebačkog područja, </w:t>
      </w:r>
      <w:r w:rsidR="00D378F2">
        <w:rPr>
          <w:rFonts w:cs="Times New Roman"/>
          <w:color w:val="000000" w:themeColor="text1"/>
          <w:sz w:val="24"/>
          <w:szCs w:val="24"/>
          <w:lang w:val="hr-HR"/>
        </w:rPr>
        <w:t>17.295,</w:t>
      </w:r>
      <w:r w:rsidR="00561A0B">
        <w:rPr>
          <w:rFonts w:cs="Times New Roman"/>
          <w:color w:val="000000" w:themeColor="text1"/>
          <w:sz w:val="24"/>
          <w:szCs w:val="24"/>
          <w:lang w:val="hr-HR"/>
        </w:rPr>
        <w:t>50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– Regionalno odlagalište </w:t>
      </w:r>
      <w:proofErr w:type="spellStart"/>
      <w:r w:rsidRPr="001C2019">
        <w:rPr>
          <w:rFonts w:cs="Times New Roman"/>
          <w:color w:val="000000" w:themeColor="text1"/>
          <w:sz w:val="24"/>
          <w:szCs w:val="24"/>
          <w:lang w:val="hr-HR"/>
        </w:rPr>
        <w:t>Piškornica</w:t>
      </w:r>
      <w:proofErr w:type="spellEnd"/>
      <w:r w:rsidRPr="001C2019">
        <w:rPr>
          <w:rFonts w:cs="Times New Roman"/>
          <w:color w:val="000000" w:themeColor="text1"/>
          <w:sz w:val="24"/>
          <w:szCs w:val="24"/>
          <w:lang w:val="hr-HR"/>
        </w:rPr>
        <w:t>).</w:t>
      </w:r>
      <w:r w:rsidR="000A2001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</w:p>
    <w:p w14:paraId="0CEB78C6" w14:textId="515D13E0" w:rsidR="001C2019" w:rsidRPr="001C2019" w:rsidRDefault="001C2019" w:rsidP="001C2019">
      <w:pPr>
        <w:ind w:firstLine="708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D378F2">
        <w:rPr>
          <w:rFonts w:cs="Times New Roman"/>
          <w:color w:val="000000" w:themeColor="text1"/>
          <w:sz w:val="24"/>
          <w:szCs w:val="24"/>
          <w:lang w:val="hr-HR"/>
        </w:rPr>
        <w:t>20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4084EAAB" w14:textId="3189E7CD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352 Subvencije trgovačkim društvima, poljoprivrednicima i obrtnicima izvan javnog sektora – </w:t>
      </w:r>
      <w:r w:rsidR="00D378F2">
        <w:rPr>
          <w:rFonts w:cs="Times New Roman"/>
          <w:color w:val="000000" w:themeColor="text1"/>
          <w:sz w:val="24"/>
          <w:szCs w:val="24"/>
          <w:u w:val="single"/>
          <w:lang w:val="hr-HR"/>
        </w:rPr>
        <w:t>435.213,96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17EF7153" w14:textId="1EEC84AE" w:rsidR="00A12975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Subvencije u iznosu od </w:t>
      </w:r>
      <w:r w:rsidR="00D378F2">
        <w:rPr>
          <w:rFonts w:cs="Times New Roman"/>
          <w:color w:val="000000" w:themeColor="text1"/>
          <w:sz w:val="24"/>
          <w:szCs w:val="24"/>
          <w:lang w:val="hr-HR"/>
        </w:rPr>
        <w:t>435.213,96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subvencije poljoprivrednicima i obrtnicima (</w:t>
      </w:r>
      <w:r w:rsidR="00A12975">
        <w:rPr>
          <w:rFonts w:cs="Times New Roman"/>
          <w:color w:val="000000" w:themeColor="text1"/>
          <w:sz w:val="24"/>
          <w:szCs w:val="24"/>
          <w:lang w:val="hr-HR"/>
        </w:rPr>
        <w:t>177.554,48 EUR – unapređenje konkurentnosti, 237.159,48 EUR – ruralni razvitak, 20.500,00 EUR – tekuće donacije).</w:t>
      </w:r>
    </w:p>
    <w:p w14:paraId="0CB8441F" w14:textId="18633E57" w:rsidR="001C2019" w:rsidRPr="001C2019" w:rsidRDefault="001C2019" w:rsidP="00A12975">
      <w:pPr>
        <w:ind w:firstLine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D94B7D">
        <w:rPr>
          <w:rFonts w:cs="Times New Roman"/>
          <w:color w:val="000000" w:themeColor="text1"/>
          <w:sz w:val="24"/>
          <w:szCs w:val="24"/>
          <w:lang w:val="hr-HR"/>
        </w:rPr>
        <w:t>37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2F141725" w14:textId="77777777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0C8BC03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>Pomoći dane u inozemstvo i unutar općeg proračuna (konto 36)</w:t>
      </w:r>
    </w:p>
    <w:p w14:paraId="1FE18334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297319A4" w14:textId="26A4FA26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su realizirane u iznosu od </w:t>
      </w:r>
      <w:r w:rsidR="00C07E16">
        <w:rPr>
          <w:rFonts w:cs="Times New Roman"/>
          <w:color w:val="000000" w:themeColor="text1"/>
          <w:sz w:val="24"/>
          <w:szCs w:val="24"/>
          <w:lang w:val="hr-HR"/>
        </w:rPr>
        <w:t>322.270,49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1</w:t>
      </w:r>
      <w:r w:rsidR="00C07E16">
        <w:rPr>
          <w:rFonts w:cs="Times New Roman"/>
          <w:color w:val="000000" w:themeColor="text1"/>
          <w:sz w:val="24"/>
          <w:szCs w:val="24"/>
          <w:lang w:val="hr-HR"/>
        </w:rPr>
        <w:t>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9471E7">
        <w:rPr>
          <w:rFonts w:cs="Times New Roman"/>
          <w:color w:val="000000" w:themeColor="text1"/>
          <w:sz w:val="24"/>
          <w:szCs w:val="24"/>
          <w:lang w:val="hr-HR"/>
        </w:rPr>
        <w:t>manje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 w:rsidR="009471E7">
        <w:rPr>
          <w:rFonts w:cs="Times New Roman"/>
          <w:color w:val="000000" w:themeColor="text1"/>
          <w:sz w:val="24"/>
          <w:szCs w:val="24"/>
          <w:lang w:val="hr-HR"/>
        </w:rPr>
        <w:t>4.024.791,85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EUR.</w:t>
      </w:r>
    </w:p>
    <w:p w14:paraId="69718678" w14:textId="3E67AC7F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363 Pomoći unutar općeg proračuna – </w:t>
      </w:r>
      <w:r w:rsidR="009471E7">
        <w:rPr>
          <w:rFonts w:cs="Times New Roman"/>
          <w:color w:val="000000" w:themeColor="text1"/>
          <w:sz w:val="24"/>
          <w:szCs w:val="24"/>
          <w:u w:val="single"/>
          <w:lang w:val="hr-HR"/>
        </w:rPr>
        <w:t>215.569,88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4D433F42" w14:textId="392CC934" w:rsidR="00172217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>Pomoći</w:t>
      </w:r>
      <w:r w:rsidR="00510CA1" w:rsidRPr="00510CA1">
        <w:rPr>
          <w:rFonts w:cs="Times New Roman"/>
          <w:color w:val="EE0000"/>
          <w:sz w:val="24"/>
          <w:szCs w:val="24"/>
          <w:lang w:val="hr-HR"/>
        </w:rPr>
        <w:t xml:space="preserve">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u iznosu od </w:t>
      </w:r>
      <w:r w:rsidR="000A2001">
        <w:rPr>
          <w:rFonts w:cs="Times New Roman"/>
          <w:color w:val="000000" w:themeColor="text1"/>
          <w:sz w:val="24"/>
          <w:szCs w:val="24"/>
          <w:lang w:val="hr-HR"/>
        </w:rPr>
        <w:t>215.569,88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tekuće pomoći unutar općeg proračuna i kapitalne pomoći unutar općeg proračuna </w:t>
      </w:r>
      <w:r w:rsidR="00172217">
        <w:rPr>
          <w:rFonts w:cs="Times New Roman"/>
          <w:color w:val="000000" w:themeColor="text1"/>
          <w:sz w:val="24"/>
          <w:szCs w:val="24"/>
          <w:lang w:val="hr-HR"/>
        </w:rPr>
        <w:t xml:space="preserve">(31.259,16 EUR – sufinanciranje javnog prijevoza, 100.000,00 EUR – pomoći za uređenje prometne i komunalne infrastrukture, 22.500,00 EUR – razvoj poljoprivrede, 19.224,90 EUR – izgradnja, dogradnja i adaptacija kod OŠ, 42.585,82 EUR – </w:t>
      </w:r>
      <w:r w:rsidR="000A2001">
        <w:rPr>
          <w:rFonts w:cs="Times New Roman"/>
          <w:color w:val="000000" w:themeColor="text1"/>
          <w:sz w:val="24"/>
          <w:szCs w:val="24"/>
          <w:lang w:val="hr-HR"/>
        </w:rPr>
        <w:t>izdvajanja za kulturu)</w:t>
      </w:r>
      <w:r w:rsidR="00172217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22E1473B" w14:textId="7A133CD1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0A2001">
        <w:rPr>
          <w:rFonts w:cs="Times New Roman"/>
          <w:color w:val="000000" w:themeColor="text1"/>
          <w:sz w:val="24"/>
          <w:szCs w:val="24"/>
          <w:lang w:val="hr-HR"/>
        </w:rPr>
        <w:t>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377670BC" w14:textId="144FD2EA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366 Pomoći proračunskim korisnicima drugih proračuna – </w:t>
      </w:r>
      <w:r w:rsidR="00172217">
        <w:rPr>
          <w:rFonts w:cs="Times New Roman"/>
          <w:color w:val="000000" w:themeColor="text1"/>
          <w:sz w:val="24"/>
          <w:szCs w:val="24"/>
          <w:u w:val="single"/>
          <w:lang w:val="hr-HR"/>
        </w:rPr>
        <w:t>106.085,86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55CFAF04" w14:textId="47100DB5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 w:rsidR="00172217">
        <w:rPr>
          <w:rFonts w:cs="Times New Roman"/>
          <w:color w:val="000000" w:themeColor="text1"/>
          <w:sz w:val="24"/>
          <w:szCs w:val="24"/>
          <w:lang w:val="hr-HR"/>
        </w:rPr>
        <w:t>106.085,86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pomoći proračunskim korisnicima drugih proračuna (</w:t>
      </w:r>
      <w:r w:rsidR="00E15CAF">
        <w:rPr>
          <w:rFonts w:cs="Times New Roman"/>
          <w:color w:val="000000" w:themeColor="text1"/>
          <w:sz w:val="24"/>
          <w:szCs w:val="24"/>
          <w:lang w:val="hr-HR"/>
        </w:rPr>
        <w:t xml:space="preserve">55.982,13 EUR – tekuće poslovanje zdravstvenih ustanova-iznad standarda, 8.714,48 EUR – pomoć obiteljima i samcima, 3.846,87 EUR – dopunski nastavni i vannastavni program škola i obrazovnih institucija, 13.270,00 EUR – ulaganja u visokoškolsko obrazovanje, 4.372,38 EUR – Baltazar 8, </w:t>
      </w:r>
      <w:r w:rsidR="008E2A81">
        <w:rPr>
          <w:rFonts w:cs="Times New Roman"/>
          <w:color w:val="000000" w:themeColor="text1"/>
          <w:sz w:val="24"/>
          <w:szCs w:val="24"/>
          <w:lang w:val="hr-HR"/>
        </w:rPr>
        <w:t>17.400,00 EUR – sufinanciranje izdavačke djelatnosti i elektronskih medija, 2.500,00 EUR – zaštita spomenika kulture)</w:t>
      </w:r>
    </w:p>
    <w:p w14:paraId="1B7A1AAD" w14:textId="440E747F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8E2A81">
        <w:rPr>
          <w:rFonts w:cs="Times New Roman"/>
          <w:color w:val="000000" w:themeColor="text1"/>
          <w:sz w:val="24"/>
          <w:szCs w:val="24"/>
          <w:lang w:val="hr-HR"/>
        </w:rPr>
        <w:t>35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2893F2FE" w14:textId="649BB32D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369 Prijenosi između proračunskih korisnika istog proračuna – </w:t>
      </w:r>
      <w:r w:rsidR="00CB7B6B">
        <w:rPr>
          <w:rFonts w:cs="Times New Roman"/>
          <w:color w:val="000000" w:themeColor="text1"/>
          <w:sz w:val="24"/>
          <w:szCs w:val="24"/>
          <w:u w:val="single"/>
          <w:lang w:val="hr-HR"/>
        </w:rPr>
        <w:t>614,75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2C0B91A5" w14:textId="31D0ED97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 w:rsidR="00CB7B6B">
        <w:rPr>
          <w:rFonts w:cs="Times New Roman"/>
          <w:color w:val="000000" w:themeColor="text1"/>
          <w:sz w:val="24"/>
          <w:szCs w:val="24"/>
          <w:lang w:val="hr-HR"/>
        </w:rPr>
        <w:t>614,75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</w:t>
      </w:r>
      <w:r w:rsidR="00CB7B6B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52DF2A9A" w14:textId="2E377864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CB7B6B">
        <w:rPr>
          <w:rFonts w:cs="Times New Roman"/>
          <w:color w:val="000000" w:themeColor="text1"/>
          <w:sz w:val="24"/>
          <w:szCs w:val="24"/>
          <w:lang w:val="hr-HR"/>
        </w:rPr>
        <w:t>251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5672309C" w14:textId="77777777" w:rsid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75BFA244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>Naknade građanima i kućanstvima na temelju osiguranja i druge naknade (konto 37)</w:t>
      </w:r>
    </w:p>
    <w:p w14:paraId="53C1037D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2EAFA4C2" w14:textId="6451033F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Naknade su realizirane u iznosu od </w:t>
      </w:r>
      <w:r w:rsidR="00CB7B6B">
        <w:rPr>
          <w:rFonts w:cs="Times New Roman"/>
          <w:color w:val="000000" w:themeColor="text1"/>
          <w:sz w:val="24"/>
          <w:szCs w:val="24"/>
          <w:lang w:val="hr-HR"/>
        </w:rPr>
        <w:t>2.269.495,20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</w:t>
      </w:r>
      <w:r w:rsidR="00CB7B6B">
        <w:rPr>
          <w:rFonts w:cs="Times New Roman"/>
          <w:color w:val="000000" w:themeColor="text1"/>
          <w:sz w:val="24"/>
          <w:szCs w:val="24"/>
          <w:lang w:val="hr-HR"/>
        </w:rPr>
        <w:t>41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CB7B6B">
        <w:rPr>
          <w:rFonts w:cs="Times New Roman"/>
          <w:color w:val="000000" w:themeColor="text1"/>
          <w:sz w:val="24"/>
          <w:szCs w:val="24"/>
          <w:lang w:val="hr-HR"/>
        </w:rPr>
        <w:t>manji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 w:rsidR="00CB7B6B">
        <w:rPr>
          <w:rFonts w:cs="Times New Roman"/>
          <w:color w:val="000000" w:themeColor="text1"/>
          <w:sz w:val="24"/>
          <w:szCs w:val="24"/>
          <w:lang w:val="hr-HR"/>
        </w:rPr>
        <w:t>11.771,10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CB7B6B">
        <w:rPr>
          <w:rFonts w:cs="Times New Roman"/>
          <w:color w:val="000000" w:themeColor="text1"/>
          <w:sz w:val="24"/>
          <w:szCs w:val="24"/>
          <w:lang w:val="hr-HR"/>
        </w:rPr>
        <w:t>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235071DB" w14:textId="58E06790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lastRenderedPageBreak/>
        <w:t xml:space="preserve">372 Ostale naknade građanima i kućanstvima iz proračuna – </w:t>
      </w:r>
      <w:r w:rsidR="00CB7B6B">
        <w:rPr>
          <w:rFonts w:cs="Times New Roman"/>
          <w:color w:val="000000" w:themeColor="text1"/>
          <w:sz w:val="24"/>
          <w:szCs w:val="24"/>
          <w:u w:val="single"/>
          <w:lang w:val="hr-HR"/>
        </w:rPr>
        <w:t>2.269.495,20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602CAE0E" w14:textId="6BB696FE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 w:rsidR="00CB7B6B">
        <w:rPr>
          <w:rFonts w:cs="Times New Roman"/>
          <w:color w:val="000000" w:themeColor="text1"/>
          <w:sz w:val="24"/>
          <w:szCs w:val="24"/>
          <w:lang w:val="hr-HR"/>
        </w:rPr>
        <w:t>2.220.913,68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naknade građanima i kućanstvima u novcu i naknade građanima i kućanstvima u naravi (</w:t>
      </w:r>
      <w:r w:rsidR="004D1734">
        <w:rPr>
          <w:rFonts w:cs="Times New Roman"/>
          <w:color w:val="000000" w:themeColor="text1"/>
          <w:sz w:val="24"/>
          <w:szCs w:val="24"/>
          <w:lang w:val="hr-HR"/>
        </w:rPr>
        <w:t>1.781.911,97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– sufinanciranje prijevoza učenika srednjih škola, </w:t>
      </w:r>
      <w:r w:rsidR="004D1734">
        <w:rPr>
          <w:rFonts w:cs="Times New Roman"/>
          <w:color w:val="000000" w:themeColor="text1"/>
          <w:sz w:val="24"/>
          <w:szCs w:val="24"/>
          <w:lang w:val="hr-HR"/>
        </w:rPr>
        <w:t>439.001,71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– stipendije, programi za nadarenu djecu, programi za djecu s teškoćama u razvoju, stručno usavršavanje i doškolovanje u školama, pronatalitetni dodatak, pomoć u naravi novorođenima).</w:t>
      </w:r>
    </w:p>
    <w:p w14:paraId="2D1E4493" w14:textId="5A95CB19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 w:rsidR="00CB7B6B">
        <w:rPr>
          <w:rFonts w:cs="Times New Roman"/>
          <w:color w:val="000000" w:themeColor="text1"/>
          <w:sz w:val="24"/>
          <w:szCs w:val="24"/>
          <w:lang w:val="hr-HR"/>
        </w:rPr>
        <w:t>48.581,52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</w:t>
      </w:r>
      <w:r w:rsidR="004D1734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7D398E0B" w14:textId="1A32540B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4D1734">
        <w:rPr>
          <w:rFonts w:cs="Times New Roman"/>
          <w:color w:val="000000" w:themeColor="text1"/>
          <w:sz w:val="24"/>
          <w:szCs w:val="24"/>
          <w:lang w:val="hr-HR"/>
        </w:rPr>
        <w:t>41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240B499D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6013CB33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>Ostali rashodi (konto 38)</w:t>
      </w:r>
    </w:p>
    <w:p w14:paraId="72674216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7E5F28AB" w14:textId="501487F3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Ostali rashodi realizirani su u iznosu od </w:t>
      </w:r>
      <w:r w:rsidR="004D1734">
        <w:rPr>
          <w:rFonts w:cs="Times New Roman"/>
          <w:color w:val="000000" w:themeColor="text1"/>
          <w:sz w:val="24"/>
          <w:szCs w:val="24"/>
          <w:lang w:val="hr-HR"/>
        </w:rPr>
        <w:t>2.230.843,44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</w:t>
      </w:r>
      <w:r w:rsidR="004D1734">
        <w:rPr>
          <w:rFonts w:cs="Times New Roman"/>
          <w:color w:val="000000" w:themeColor="text1"/>
          <w:sz w:val="24"/>
          <w:szCs w:val="24"/>
          <w:lang w:val="hr-HR"/>
        </w:rPr>
        <w:t>22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veći su za </w:t>
      </w:r>
      <w:r w:rsidR="004D1734">
        <w:rPr>
          <w:rFonts w:cs="Times New Roman"/>
          <w:color w:val="000000" w:themeColor="text1"/>
          <w:sz w:val="24"/>
          <w:szCs w:val="24"/>
          <w:lang w:val="hr-HR"/>
        </w:rPr>
        <w:t>447.243,74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4D1734">
        <w:rPr>
          <w:rFonts w:cs="Times New Roman"/>
          <w:color w:val="000000" w:themeColor="text1"/>
          <w:sz w:val="24"/>
          <w:szCs w:val="24"/>
          <w:lang w:val="hr-HR"/>
        </w:rPr>
        <w:t>25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23A830DE" w14:textId="37819F3C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381 Tekuće donacije – </w:t>
      </w:r>
      <w:r w:rsidR="004D1734">
        <w:rPr>
          <w:rFonts w:cs="Times New Roman"/>
          <w:color w:val="000000" w:themeColor="text1"/>
          <w:sz w:val="24"/>
          <w:szCs w:val="24"/>
          <w:u w:val="single"/>
          <w:lang w:val="hr-HR"/>
        </w:rPr>
        <w:t>1.840.352,12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06677B29" w14:textId="08C27197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Tekuće donacije u iznosu od </w:t>
      </w:r>
      <w:r w:rsidR="004D1734">
        <w:rPr>
          <w:rFonts w:cs="Times New Roman"/>
          <w:color w:val="000000" w:themeColor="text1"/>
          <w:sz w:val="24"/>
          <w:szCs w:val="24"/>
          <w:lang w:val="hr-HR"/>
        </w:rPr>
        <w:t>1.820.487,47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tekuće donacije u novcu i iz EU sredstava (</w:t>
      </w:r>
      <w:r w:rsidR="004D1734">
        <w:rPr>
          <w:rFonts w:cs="Times New Roman"/>
          <w:color w:val="000000" w:themeColor="text1"/>
          <w:sz w:val="24"/>
          <w:szCs w:val="24"/>
          <w:lang w:val="hr-HR"/>
        </w:rPr>
        <w:t xml:space="preserve">26.700,42 EUR – predstavnička i izvršna tijela, 5.000,00 EUR – sajmovi i ostale promidžbene manifestacije, 88.000,00 EUR – energetska učinkovitost, </w:t>
      </w:r>
      <w:r w:rsidR="00E052B0">
        <w:rPr>
          <w:rFonts w:cs="Times New Roman"/>
          <w:color w:val="000000" w:themeColor="text1"/>
          <w:sz w:val="24"/>
          <w:szCs w:val="24"/>
          <w:lang w:val="hr-HR"/>
        </w:rPr>
        <w:t xml:space="preserve">246.000,00 EUR – turistička promidžba, 15.504,45 EUR – razvoj poljoprivrede, 15.000,00 EUR – međunarodna suradnja, </w:t>
      </w:r>
      <w:r w:rsidR="0039439C">
        <w:rPr>
          <w:rFonts w:cs="Times New Roman"/>
          <w:color w:val="000000" w:themeColor="text1"/>
          <w:sz w:val="24"/>
          <w:szCs w:val="24"/>
          <w:lang w:val="hr-HR"/>
        </w:rPr>
        <w:t xml:space="preserve">26.500,00 EUR – zdravstvene usluge prevencije i edukacije, 144.242,00 EUR – pomoć obiteljima i samcima, 311.466,63 EUR – donacije braniteljima, udrugama i mladima, 52.191,57 EUR – dopunski nastavni i </w:t>
      </w:r>
      <w:proofErr w:type="spellStart"/>
      <w:r w:rsidR="0039439C">
        <w:rPr>
          <w:rFonts w:cs="Times New Roman"/>
          <w:color w:val="000000" w:themeColor="text1"/>
          <w:sz w:val="24"/>
          <w:szCs w:val="24"/>
          <w:lang w:val="hr-HR"/>
        </w:rPr>
        <w:t>vannanstavni</w:t>
      </w:r>
      <w:proofErr w:type="spellEnd"/>
      <w:r w:rsidR="0039439C">
        <w:rPr>
          <w:rFonts w:cs="Times New Roman"/>
          <w:color w:val="000000" w:themeColor="text1"/>
          <w:sz w:val="24"/>
          <w:szCs w:val="24"/>
          <w:lang w:val="hr-HR"/>
        </w:rPr>
        <w:t xml:space="preserve"> program škola i obrazovnih institucija, 33.000,00 EUR – programi za nadarenu djecu, 22.960,00 EUR – sufinanciranje izdavačke djelatnosti i elektronskih medija, 203.346,00 EUR </w:t>
      </w:r>
      <w:r w:rsidR="00483396">
        <w:rPr>
          <w:rFonts w:cs="Times New Roman"/>
          <w:color w:val="000000" w:themeColor="text1"/>
          <w:sz w:val="24"/>
          <w:szCs w:val="24"/>
          <w:lang w:val="hr-HR"/>
        </w:rPr>
        <w:t>–</w:t>
      </w:r>
      <w:r w:rsidR="0039439C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483396">
        <w:rPr>
          <w:rFonts w:cs="Times New Roman"/>
          <w:color w:val="000000" w:themeColor="text1"/>
          <w:sz w:val="24"/>
          <w:szCs w:val="24"/>
          <w:lang w:val="hr-HR"/>
        </w:rPr>
        <w:t>program kulturnog razvitka, 426.501,40 EUR – program tehničke kulture i športa, 16.075,00 EUR – zaštita spomenika kulture, 188.000,00 EUR – protupožarna i civilna zaštita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).</w:t>
      </w:r>
    </w:p>
    <w:p w14:paraId="4AEC8473" w14:textId="1879BC54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Tekuće donacije u iznosu od </w:t>
      </w:r>
      <w:r w:rsidR="004D1734">
        <w:rPr>
          <w:rFonts w:cs="Times New Roman"/>
          <w:color w:val="000000" w:themeColor="text1"/>
          <w:sz w:val="24"/>
          <w:szCs w:val="24"/>
          <w:lang w:val="hr-HR"/>
        </w:rPr>
        <w:t>19.864,65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tekuće donacije u naravi.</w:t>
      </w:r>
    </w:p>
    <w:p w14:paraId="6EA1FE3A" w14:textId="0DA47AC8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4D1734">
        <w:rPr>
          <w:rFonts w:cs="Times New Roman"/>
          <w:color w:val="000000" w:themeColor="text1"/>
          <w:sz w:val="24"/>
          <w:szCs w:val="24"/>
          <w:lang w:val="hr-HR"/>
        </w:rPr>
        <w:t>62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57A2D7BA" w14:textId="3AB2C60E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382 Kapitalne donacije – </w:t>
      </w:r>
      <w:r w:rsidR="00483396">
        <w:rPr>
          <w:rFonts w:cs="Times New Roman"/>
          <w:color w:val="000000" w:themeColor="text1"/>
          <w:sz w:val="24"/>
          <w:szCs w:val="24"/>
          <w:u w:val="single"/>
          <w:lang w:val="hr-HR"/>
        </w:rPr>
        <w:t>262.474,78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1D3AE0B3" w14:textId="7BD223AB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Kapitalne donacije u iznosu od </w:t>
      </w:r>
      <w:r w:rsidR="00FD2394">
        <w:rPr>
          <w:rFonts w:cs="Times New Roman"/>
          <w:color w:val="000000" w:themeColor="text1"/>
          <w:sz w:val="24"/>
          <w:szCs w:val="24"/>
          <w:lang w:val="hr-HR"/>
        </w:rPr>
        <w:t>262.474,78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kapitalne donacije neprofitnim organizacijama i kapitalne donacije građanima i kućanstvima (</w:t>
      </w:r>
      <w:r w:rsidR="00D56778">
        <w:rPr>
          <w:rFonts w:cs="Times New Roman"/>
          <w:color w:val="000000" w:themeColor="text1"/>
          <w:sz w:val="24"/>
          <w:szCs w:val="24"/>
          <w:lang w:val="hr-HR"/>
        </w:rPr>
        <w:t>189.827,56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– sufinanciranje obnove nakon potresa, </w:t>
      </w:r>
      <w:r w:rsidR="00D56778">
        <w:rPr>
          <w:rFonts w:cs="Times New Roman"/>
          <w:color w:val="000000" w:themeColor="text1"/>
          <w:sz w:val="24"/>
          <w:szCs w:val="24"/>
          <w:lang w:val="hr-HR"/>
        </w:rPr>
        <w:t>72.647,22 EUR – izdvajanja za kulturu)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76CAFC9B" w14:textId="1A8C81C9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D56778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6449AE62" w14:textId="1B81F1E0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383 Kazne, penali i naknade štete – </w:t>
      </w:r>
      <w:r w:rsidR="00D56778">
        <w:rPr>
          <w:rFonts w:cs="Times New Roman"/>
          <w:color w:val="000000" w:themeColor="text1"/>
          <w:sz w:val="24"/>
          <w:szCs w:val="24"/>
          <w:u w:val="single"/>
          <w:lang w:val="hr-HR"/>
        </w:rPr>
        <w:t>61.554,02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79B3CAFA" w14:textId="532A13F5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Kazne, penali i naknade štete  u iznosu od </w:t>
      </w:r>
      <w:r w:rsidR="00D56778">
        <w:rPr>
          <w:rFonts w:cs="Times New Roman"/>
          <w:color w:val="000000" w:themeColor="text1"/>
          <w:sz w:val="24"/>
          <w:szCs w:val="24"/>
          <w:lang w:val="hr-HR"/>
        </w:rPr>
        <w:t>61.554,02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sljedeće: </w:t>
      </w:r>
      <w:r w:rsidR="00F94090">
        <w:rPr>
          <w:rFonts w:cs="Times New Roman"/>
          <w:color w:val="000000" w:themeColor="text1"/>
          <w:sz w:val="24"/>
          <w:szCs w:val="24"/>
          <w:lang w:val="hr-HR"/>
        </w:rPr>
        <w:t>8.000,00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– naknade šteta za sanaciju klizišta,</w:t>
      </w:r>
      <w:r w:rsidR="00F9409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53.554,02 </w:t>
      </w:r>
      <w:r w:rsidR="00F94090">
        <w:rPr>
          <w:rFonts w:cs="Times New Roman"/>
          <w:color w:val="000000" w:themeColor="text1"/>
          <w:sz w:val="24"/>
          <w:szCs w:val="24"/>
          <w:lang w:val="hr-HR"/>
        </w:rPr>
        <w:t>EUR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– ugovorne kazne)</w:t>
      </w:r>
    </w:p>
    <w:p w14:paraId="2FBF9921" w14:textId="71DAE9A9" w:rsidR="00605860" w:rsidRDefault="001C2019" w:rsidP="001A4DFD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>Realizirani iznos predstavlja 8</w:t>
      </w:r>
      <w:r w:rsidR="00F94090">
        <w:rPr>
          <w:rFonts w:cs="Times New Roman"/>
          <w:color w:val="000000" w:themeColor="text1"/>
          <w:sz w:val="24"/>
          <w:szCs w:val="24"/>
          <w:lang w:val="hr-HR"/>
        </w:rPr>
        <w:t>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364B8009" w14:textId="03952E75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386 Kapitalne pomoći – </w:t>
      </w:r>
      <w:r w:rsidR="001A4DFD">
        <w:rPr>
          <w:rFonts w:cs="Times New Roman"/>
          <w:color w:val="000000" w:themeColor="text1"/>
          <w:sz w:val="24"/>
          <w:szCs w:val="24"/>
          <w:u w:val="single"/>
          <w:lang w:val="hr-HR"/>
        </w:rPr>
        <w:t>66.462,52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097BAB52" w14:textId="44940EB0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Kapitalne donacije u iznosu od </w:t>
      </w:r>
      <w:r w:rsidR="005F7E2E">
        <w:rPr>
          <w:rFonts w:cs="Times New Roman"/>
          <w:color w:val="000000" w:themeColor="text1"/>
          <w:sz w:val="24"/>
          <w:szCs w:val="24"/>
          <w:lang w:val="hr-HR"/>
        </w:rPr>
        <w:t>66.462,52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kapitalne pomoći </w:t>
      </w:r>
      <w:r w:rsidR="001A4DFD">
        <w:rPr>
          <w:rFonts w:cs="Times New Roman"/>
          <w:color w:val="000000" w:themeColor="text1"/>
          <w:sz w:val="24"/>
          <w:szCs w:val="24"/>
          <w:lang w:val="hr-HR"/>
        </w:rPr>
        <w:t xml:space="preserve">trgovačkom društvu </w:t>
      </w:r>
      <w:proofErr w:type="spellStart"/>
      <w:r w:rsidR="001A4DFD">
        <w:rPr>
          <w:rFonts w:cs="Times New Roman"/>
          <w:color w:val="000000" w:themeColor="text1"/>
          <w:sz w:val="24"/>
          <w:szCs w:val="24"/>
          <w:lang w:val="hr-HR"/>
        </w:rPr>
        <w:t>Piškornica</w:t>
      </w:r>
      <w:proofErr w:type="spellEnd"/>
      <w:r w:rsidR="001A4DFD">
        <w:rPr>
          <w:rFonts w:cs="Times New Roman"/>
          <w:color w:val="000000" w:themeColor="text1"/>
          <w:sz w:val="24"/>
          <w:szCs w:val="24"/>
          <w:lang w:val="hr-HR"/>
        </w:rPr>
        <w:t xml:space="preserve"> d.o.o.</w:t>
      </w:r>
    </w:p>
    <w:p w14:paraId="6868184B" w14:textId="2701373F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5F7E2E">
        <w:rPr>
          <w:rFonts w:cs="Times New Roman"/>
          <w:color w:val="000000" w:themeColor="text1"/>
          <w:sz w:val="24"/>
          <w:szCs w:val="24"/>
          <w:lang w:val="hr-HR"/>
        </w:rPr>
        <w:t>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7C78D53A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299060F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>Rashodi za nabavu neproizvedene dugotrajne imovine (konto 41)</w:t>
      </w:r>
    </w:p>
    <w:p w14:paraId="038A4E30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6BE627A8" w14:textId="1342066B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Rashodi za nabavu neproizvedene dugotrajne imovine su realizirani u iznosu od </w:t>
      </w:r>
      <w:r w:rsidR="001A4DFD">
        <w:rPr>
          <w:rFonts w:cs="Times New Roman"/>
          <w:color w:val="000000" w:themeColor="text1"/>
          <w:sz w:val="24"/>
          <w:szCs w:val="24"/>
          <w:lang w:val="hr-HR"/>
        </w:rPr>
        <w:t xml:space="preserve">36.657,63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EUR ili </w:t>
      </w:r>
      <w:r w:rsidR="001A4DFD">
        <w:rPr>
          <w:rFonts w:cs="Times New Roman"/>
          <w:color w:val="000000" w:themeColor="text1"/>
          <w:sz w:val="24"/>
          <w:szCs w:val="24"/>
          <w:lang w:val="hr-HR"/>
        </w:rPr>
        <w:t>20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manji su za </w:t>
      </w:r>
      <w:r w:rsidR="001A4DFD">
        <w:rPr>
          <w:rFonts w:cs="Times New Roman"/>
          <w:color w:val="000000" w:themeColor="text1"/>
          <w:sz w:val="24"/>
          <w:szCs w:val="24"/>
          <w:lang w:val="hr-HR"/>
        </w:rPr>
        <w:t>30.566,53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1A4DFD">
        <w:rPr>
          <w:rFonts w:cs="Times New Roman"/>
          <w:color w:val="000000" w:themeColor="text1"/>
          <w:sz w:val="24"/>
          <w:szCs w:val="24"/>
          <w:lang w:val="hr-HR"/>
        </w:rPr>
        <w:t>45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620FA1AA" w14:textId="04638703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lastRenderedPageBreak/>
        <w:t xml:space="preserve">412 Nematerijalna imovina – </w:t>
      </w:r>
      <w:r w:rsidR="00D14697">
        <w:rPr>
          <w:rFonts w:cs="Times New Roman"/>
          <w:color w:val="000000" w:themeColor="text1"/>
          <w:sz w:val="24"/>
          <w:szCs w:val="24"/>
          <w:u w:val="single"/>
          <w:lang w:val="hr-HR"/>
        </w:rPr>
        <w:t>36.657,63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0CB9E6C7" w14:textId="45C092D9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Nematerijalna imovina u iznosu od </w:t>
      </w:r>
      <w:r w:rsidR="00D14697">
        <w:rPr>
          <w:rFonts w:cs="Times New Roman"/>
          <w:color w:val="000000" w:themeColor="text1"/>
          <w:sz w:val="24"/>
          <w:szCs w:val="24"/>
          <w:lang w:val="hr-HR"/>
        </w:rPr>
        <w:t>3.923,40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odnosi se na županijski proračun, a uključuje </w:t>
      </w:r>
      <w:r w:rsidR="00D14697">
        <w:rPr>
          <w:rFonts w:cs="Times New Roman"/>
          <w:color w:val="000000" w:themeColor="text1"/>
          <w:sz w:val="24"/>
          <w:szCs w:val="24"/>
          <w:lang w:val="hr-HR"/>
        </w:rPr>
        <w:t>nabavu nematerijalne imovine - licence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. </w:t>
      </w:r>
    </w:p>
    <w:p w14:paraId="52D728F9" w14:textId="677B141C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Nematerijalna imovina u iznosu od </w:t>
      </w:r>
      <w:r w:rsidR="00D14697">
        <w:rPr>
          <w:rFonts w:cs="Times New Roman"/>
          <w:color w:val="000000" w:themeColor="text1"/>
          <w:sz w:val="24"/>
          <w:szCs w:val="24"/>
          <w:lang w:val="hr-HR"/>
        </w:rPr>
        <w:t>32.734,23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odnosi se na proračunske korisnike</w:t>
      </w:r>
      <w:r w:rsidR="00D14697">
        <w:rPr>
          <w:rFonts w:cs="Times New Roman"/>
          <w:color w:val="000000" w:themeColor="text1"/>
          <w:sz w:val="24"/>
          <w:szCs w:val="24"/>
          <w:lang w:val="hr-HR"/>
        </w:rPr>
        <w:t>, a uključuje nabavu nematerijalne imovine – licence i ulaganja na tuđoj imovini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234BB9A4" w14:textId="2FACA199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D14697">
        <w:rPr>
          <w:rFonts w:cs="Times New Roman"/>
          <w:color w:val="000000" w:themeColor="text1"/>
          <w:sz w:val="24"/>
          <w:szCs w:val="24"/>
          <w:lang w:val="hr-HR"/>
        </w:rPr>
        <w:t>29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2B1D929C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288E2FD5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>Rashodi za nabavu proizvedene dugotrajne imovine (konto 42)</w:t>
      </w:r>
    </w:p>
    <w:p w14:paraId="71CDCAF4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7EEFE4E7" w14:textId="6F12FA46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Rashodi za nabavu proizvedene dugotrajne imovine realizirani su u iznosu od </w:t>
      </w:r>
      <w:r w:rsidR="00D14697">
        <w:rPr>
          <w:rFonts w:cs="Times New Roman"/>
          <w:color w:val="000000" w:themeColor="text1"/>
          <w:sz w:val="24"/>
          <w:szCs w:val="24"/>
          <w:lang w:val="hr-HR"/>
        </w:rPr>
        <w:t>4.835.095,89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2</w:t>
      </w:r>
      <w:r w:rsidR="00D14697">
        <w:rPr>
          <w:rFonts w:cs="Times New Roman"/>
          <w:color w:val="000000" w:themeColor="text1"/>
          <w:sz w:val="24"/>
          <w:szCs w:val="24"/>
          <w:lang w:val="hr-HR"/>
        </w:rPr>
        <w:t>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D14697">
        <w:rPr>
          <w:rFonts w:cs="Times New Roman"/>
          <w:color w:val="000000" w:themeColor="text1"/>
          <w:sz w:val="24"/>
          <w:szCs w:val="24"/>
          <w:lang w:val="hr-HR"/>
        </w:rPr>
        <w:t>veći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 w:rsidR="00D14697">
        <w:rPr>
          <w:rFonts w:cs="Times New Roman"/>
          <w:color w:val="000000" w:themeColor="text1"/>
          <w:sz w:val="24"/>
          <w:szCs w:val="24"/>
          <w:lang w:val="hr-HR"/>
        </w:rPr>
        <w:t>2.788.287,69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EUR.</w:t>
      </w:r>
    </w:p>
    <w:p w14:paraId="542D7245" w14:textId="6CC33F60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421 Građevinski objekti – </w:t>
      </w:r>
      <w:r w:rsidR="00D14697">
        <w:rPr>
          <w:rFonts w:cs="Times New Roman"/>
          <w:color w:val="000000" w:themeColor="text1"/>
          <w:sz w:val="24"/>
          <w:szCs w:val="24"/>
          <w:u w:val="single"/>
          <w:lang w:val="hr-HR"/>
        </w:rPr>
        <w:t>3.951.312,66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6E85A0BF" w14:textId="7B8EDF15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Troškovi za građevinske objekte  u iznosu od </w:t>
      </w:r>
      <w:r w:rsidR="00D14697">
        <w:rPr>
          <w:rFonts w:cs="Times New Roman"/>
          <w:color w:val="000000" w:themeColor="text1"/>
          <w:sz w:val="24"/>
          <w:szCs w:val="24"/>
          <w:lang w:val="hr-HR"/>
        </w:rPr>
        <w:t>528.268,89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sljedeće: </w:t>
      </w:r>
      <w:r w:rsidR="006B11E1">
        <w:rPr>
          <w:rFonts w:cs="Times New Roman"/>
          <w:color w:val="000000" w:themeColor="text1"/>
          <w:sz w:val="24"/>
          <w:szCs w:val="24"/>
          <w:lang w:val="hr-HR"/>
        </w:rPr>
        <w:t xml:space="preserve">750,00 EUR – PTD za škole, 200.622,50 EUR – uređenje školskog igrališta OŠ Sveti Križ Začretje, 43.423,89 EUR – PŠ </w:t>
      </w:r>
      <w:proofErr w:type="spellStart"/>
      <w:r w:rsidR="006B11E1">
        <w:rPr>
          <w:rFonts w:cs="Times New Roman"/>
          <w:color w:val="000000" w:themeColor="text1"/>
          <w:sz w:val="24"/>
          <w:szCs w:val="24"/>
          <w:lang w:val="hr-HR"/>
        </w:rPr>
        <w:t>Poznanovec</w:t>
      </w:r>
      <w:proofErr w:type="spellEnd"/>
      <w:r w:rsidR="006B11E1">
        <w:rPr>
          <w:rFonts w:cs="Times New Roman"/>
          <w:color w:val="000000" w:themeColor="text1"/>
          <w:sz w:val="24"/>
          <w:szCs w:val="24"/>
          <w:lang w:val="hr-HR"/>
        </w:rPr>
        <w:t xml:space="preserve"> – rušenje zgrade, 14.350,00 EUR – ustanove u obrazovanje, 269.122,50 EUR – kupnja poslovnog prostora</w:t>
      </w:r>
      <w:r w:rsidR="00E82AB3">
        <w:rPr>
          <w:rFonts w:cs="Times New Roman"/>
          <w:color w:val="000000" w:themeColor="text1"/>
          <w:sz w:val="24"/>
          <w:szCs w:val="24"/>
          <w:lang w:val="hr-HR"/>
        </w:rPr>
        <w:t xml:space="preserve"> u Krapini.</w:t>
      </w:r>
    </w:p>
    <w:p w14:paraId="1774BDDE" w14:textId="2AE9F198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Troškovi za građevinske objekte u iznosu od </w:t>
      </w:r>
      <w:r w:rsidR="006B11E1">
        <w:rPr>
          <w:rFonts w:cs="Times New Roman"/>
          <w:color w:val="000000" w:themeColor="text1"/>
          <w:sz w:val="24"/>
          <w:szCs w:val="24"/>
          <w:lang w:val="hr-HR"/>
        </w:rPr>
        <w:t>3.423.043,77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sljedeće: </w:t>
      </w:r>
      <w:r w:rsidR="000B5A9E">
        <w:rPr>
          <w:rFonts w:cs="Times New Roman"/>
          <w:color w:val="000000" w:themeColor="text1"/>
          <w:sz w:val="24"/>
          <w:szCs w:val="24"/>
          <w:lang w:val="hr-HR"/>
        </w:rPr>
        <w:t>3.076.871,50 EUR – SB Stubičke Toplice – poslovni objekti, 3.224,00 EUR – SB Krapinske Toplice – poslovni objekti, 342.948,27 EUR – ustanove u obrazovanju – projektno tehnička dokumentacija</w:t>
      </w:r>
      <w:r w:rsidR="00FD2394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74A4B880" w14:textId="69538F5C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0B5A9E">
        <w:rPr>
          <w:rFonts w:cs="Times New Roman"/>
          <w:color w:val="000000" w:themeColor="text1"/>
          <w:sz w:val="24"/>
          <w:szCs w:val="24"/>
          <w:lang w:val="hr-HR"/>
        </w:rPr>
        <w:t>32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6E46F1F2" w14:textId="2BAAB99D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422 Postrojenja i oprema – </w:t>
      </w:r>
      <w:r w:rsidR="000B5A9E">
        <w:rPr>
          <w:rFonts w:cs="Times New Roman"/>
          <w:color w:val="000000" w:themeColor="text1"/>
          <w:sz w:val="24"/>
          <w:szCs w:val="24"/>
          <w:u w:val="single"/>
          <w:lang w:val="hr-HR"/>
        </w:rPr>
        <w:t>798.701,00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32BCBD09" w14:textId="7B2372F0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Postrojenja i oprema u iznosu od </w:t>
      </w:r>
      <w:r w:rsidR="000B5A9E">
        <w:rPr>
          <w:rFonts w:cs="Times New Roman"/>
          <w:color w:val="000000" w:themeColor="text1"/>
          <w:sz w:val="24"/>
          <w:szCs w:val="24"/>
          <w:lang w:val="hr-HR"/>
        </w:rPr>
        <w:t>332.841,65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uredsku opremu i namještaj, komunikacijsku opremu, medicinsku i laboratorijsku opremu i uređaje i opremu za ostale namjene.</w:t>
      </w:r>
    </w:p>
    <w:p w14:paraId="0DACE04F" w14:textId="0BF29F2E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Postrojenja i oprema u iznosu od </w:t>
      </w:r>
      <w:r w:rsidR="000B5A9E">
        <w:rPr>
          <w:rFonts w:cs="Times New Roman"/>
          <w:color w:val="000000" w:themeColor="text1"/>
          <w:sz w:val="24"/>
          <w:szCs w:val="24"/>
          <w:lang w:val="hr-HR"/>
        </w:rPr>
        <w:t>465.859,35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uredsku opremu i namještaj, komunikacijsku opremu, opremu za održavanje i zaštitu, medicinsku i laboratorijsku opremu, instrumente i uređaje, sportsku i glazbenu opremu i uređaje, strojeve i opremu za ostale namjene.</w:t>
      </w:r>
    </w:p>
    <w:p w14:paraId="3C25E89A" w14:textId="035B1A4A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0B5A9E">
        <w:rPr>
          <w:rFonts w:cs="Times New Roman"/>
          <w:color w:val="000000" w:themeColor="text1"/>
          <w:sz w:val="24"/>
          <w:szCs w:val="24"/>
          <w:lang w:val="hr-HR"/>
        </w:rPr>
        <w:t>24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155934BD" w14:textId="05139783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423 Prijevozna sredstva – </w:t>
      </w:r>
      <w:r w:rsidR="000B5A9E">
        <w:rPr>
          <w:rFonts w:cs="Times New Roman"/>
          <w:color w:val="000000" w:themeColor="text1"/>
          <w:sz w:val="24"/>
          <w:szCs w:val="24"/>
          <w:u w:val="single"/>
          <w:lang w:val="hr-HR"/>
        </w:rPr>
        <w:t>30.671,56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1A48F381" w14:textId="133DB73E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Prijevozna sredstva u iznosu od </w:t>
      </w:r>
      <w:r w:rsidR="000B5A9E">
        <w:rPr>
          <w:rFonts w:cs="Times New Roman"/>
          <w:color w:val="000000" w:themeColor="text1"/>
          <w:sz w:val="24"/>
          <w:szCs w:val="24"/>
          <w:lang w:val="hr-HR"/>
        </w:rPr>
        <w:t>30.671,56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rashode za prijevozna sredstva u cestovnom prometu</w:t>
      </w:r>
      <w:r w:rsidR="000B5A9E">
        <w:rPr>
          <w:rFonts w:cs="Times New Roman"/>
          <w:color w:val="000000" w:themeColor="text1"/>
          <w:sz w:val="24"/>
          <w:szCs w:val="24"/>
          <w:lang w:val="hr-HR"/>
        </w:rPr>
        <w:t xml:space="preserve"> (Dom zdravlja Krapinsko-zagorske županije).</w:t>
      </w:r>
    </w:p>
    <w:p w14:paraId="0BA14FC8" w14:textId="2DA42C58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424 Knjige, umjetnička djela i ostale izložbene vrijednosti – </w:t>
      </w:r>
      <w:r w:rsidR="00591DB0">
        <w:rPr>
          <w:rFonts w:cs="Times New Roman"/>
          <w:color w:val="000000" w:themeColor="text1"/>
          <w:sz w:val="24"/>
          <w:szCs w:val="24"/>
          <w:u w:val="single"/>
          <w:lang w:val="hr-HR"/>
        </w:rPr>
        <w:t>28.666,23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467E7323" w14:textId="2AA176D7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>Troškovi u iznosu od 1.</w:t>
      </w:r>
      <w:r w:rsidR="00591DB0">
        <w:rPr>
          <w:rFonts w:cs="Times New Roman"/>
          <w:color w:val="000000" w:themeColor="text1"/>
          <w:sz w:val="24"/>
          <w:szCs w:val="24"/>
          <w:lang w:val="hr-HR"/>
        </w:rPr>
        <w:t>011,12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troškove za knjige</w:t>
      </w:r>
      <w:r w:rsidR="00591DB0">
        <w:rPr>
          <w:rFonts w:cs="Times New Roman"/>
          <w:color w:val="000000" w:themeColor="text1"/>
          <w:sz w:val="24"/>
          <w:szCs w:val="24"/>
          <w:lang w:val="hr-HR"/>
        </w:rPr>
        <w:t xml:space="preserve"> za knjižnicu.</w:t>
      </w:r>
    </w:p>
    <w:p w14:paraId="7C13EA7D" w14:textId="18C91188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Troškovi  u iznosu od </w:t>
      </w:r>
      <w:r w:rsidR="00591DB0">
        <w:rPr>
          <w:rFonts w:cs="Times New Roman"/>
          <w:color w:val="000000" w:themeColor="text1"/>
          <w:sz w:val="24"/>
          <w:szCs w:val="24"/>
          <w:lang w:val="hr-HR"/>
        </w:rPr>
        <w:t>27.655,11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troškove za knjige.</w:t>
      </w:r>
    </w:p>
    <w:p w14:paraId="2317C961" w14:textId="1980E1CF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591DB0">
        <w:rPr>
          <w:rFonts w:cs="Times New Roman"/>
          <w:color w:val="000000" w:themeColor="text1"/>
          <w:sz w:val="24"/>
          <w:szCs w:val="24"/>
          <w:lang w:val="hr-HR"/>
        </w:rPr>
        <w:t>11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1EC45BCF" w14:textId="2923B4C6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426 Nematerijalna proizvedena imovina – </w:t>
      </w:r>
      <w:r w:rsidR="00591DB0">
        <w:rPr>
          <w:rFonts w:cs="Times New Roman"/>
          <w:color w:val="000000" w:themeColor="text1"/>
          <w:sz w:val="24"/>
          <w:szCs w:val="24"/>
          <w:u w:val="single"/>
          <w:lang w:val="hr-HR"/>
        </w:rPr>
        <w:t>25.744,44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146BE15F" w14:textId="5ADCCE65" w:rsidR="00591DB0" w:rsidRPr="00591DB0" w:rsidRDefault="00591DB0" w:rsidP="00591DB0">
      <w:pPr>
        <w:pStyle w:val="Odlomakpopisa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591DB0">
        <w:rPr>
          <w:rFonts w:cs="Times New Roman"/>
          <w:color w:val="000000" w:themeColor="text1"/>
          <w:sz w:val="24"/>
          <w:szCs w:val="24"/>
          <w:lang w:val="hr-HR"/>
        </w:rPr>
        <w:t xml:space="preserve">Nematerijalna proizvedena imovina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18.750,00</w:t>
      </w:r>
      <w:r w:rsidRPr="00591DB0">
        <w:rPr>
          <w:rFonts w:cs="Times New Roman"/>
          <w:color w:val="000000" w:themeColor="text1"/>
          <w:sz w:val="24"/>
          <w:szCs w:val="24"/>
          <w:lang w:val="hr-HR"/>
        </w:rPr>
        <w:t xml:space="preserve"> EUR odnosi se na </w:t>
      </w:r>
      <w:r>
        <w:rPr>
          <w:rFonts w:cs="Times New Roman"/>
          <w:color w:val="000000" w:themeColor="text1"/>
          <w:sz w:val="24"/>
          <w:szCs w:val="24"/>
          <w:lang w:val="hr-HR"/>
        </w:rPr>
        <w:t>županijski proračun</w:t>
      </w:r>
      <w:r w:rsidRPr="00591DB0">
        <w:rPr>
          <w:rFonts w:cs="Times New Roman"/>
          <w:color w:val="000000" w:themeColor="text1"/>
          <w:sz w:val="24"/>
          <w:szCs w:val="24"/>
          <w:lang w:val="hr-HR"/>
        </w:rPr>
        <w:t>, a uključuju troškove ulaganja u računalne programe.</w:t>
      </w:r>
    </w:p>
    <w:p w14:paraId="5401BAA1" w14:textId="77777777" w:rsidR="00591DB0" w:rsidRDefault="00591DB0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6E02D3A9" w14:textId="494E1829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Nematerijalna proizvedena imovina u iznosu od </w:t>
      </w:r>
      <w:r w:rsidR="00591DB0">
        <w:rPr>
          <w:rFonts w:cs="Times New Roman"/>
          <w:color w:val="000000" w:themeColor="text1"/>
          <w:sz w:val="24"/>
          <w:szCs w:val="24"/>
          <w:lang w:val="hr-HR"/>
        </w:rPr>
        <w:t>6.994,44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odnosi se na proračunske korisnike, a uključuju troškove ulaganja u računalne programe.</w:t>
      </w:r>
    </w:p>
    <w:p w14:paraId="7D7EF4D3" w14:textId="6EC1544B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591DB0">
        <w:rPr>
          <w:rFonts w:cs="Times New Roman"/>
          <w:color w:val="000000" w:themeColor="text1"/>
          <w:sz w:val="24"/>
          <w:szCs w:val="24"/>
          <w:lang w:val="hr-HR"/>
        </w:rPr>
        <w:t>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0A833B5E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161368C6" w14:textId="77777777" w:rsidR="00D745A0" w:rsidRDefault="00D745A0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</w:p>
    <w:p w14:paraId="67892A3C" w14:textId="2FD83FC6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lastRenderedPageBreak/>
        <w:t>Rashodi za dodatna ulaganja na nefinancijskoj imovini (konto 45)</w:t>
      </w:r>
    </w:p>
    <w:p w14:paraId="14263CA1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08E07001" w14:textId="65D8AA1C" w:rsidR="00C325C4" w:rsidRPr="00D4207B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Rashodi za dodatna ulaganja na nefinancijskoj imovini realizirani su u iznosu od </w:t>
      </w:r>
      <w:r w:rsidR="00591DB0">
        <w:rPr>
          <w:rFonts w:cs="Times New Roman"/>
          <w:color w:val="000000" w:themeColor="text1"/>
          <w:sz w:val="24"/>
          <w:szCs w:val="24"/>
          <w:lang w:val="hr-HR"/>
        </w:rPr>
        <w:t>5.331.440,70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ili </w:t>
      </w:r>
      <w:r w:rsidR="00C325C4">
        <w:rPr>
          <w:rFonts w:cs="Times New Roman"/>
          <w:color w:val="000000" w:themeColor="text1"/>
          <w:sz w:val="24"/>
          <w:szCs w:val="24"/>
          <w:lang w:val="hr-HR"/>
        </w:rPr>
        <w:t>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903390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C325C4">
        <w:rPr>
          <w:rFonts w:cs="Times New Roman"/>
          <w:color w:val="000000" w:themeColor="text1"/>
          <w:sz w:val="24"/>
          <w:szCs w:val="24"/>
          <w:lang w:val="hr-HR"/>
        </w:rPr>
        <w:t>veći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 w:rsidR="00C325C4">
        <w:rPr>
          <w:rFonts w:cs="Times New Roman"/>
          <w:color w:val="000000" w:themeColor="text1"/>
          <w:sz w:val="24"/>
          <w:szCs w:val="24"/>
          <w:lang w:val="hr-HR"/>
        </w:rPr>
        <w:t>4.537.570,16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C325C4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42BC2FCB" w14:textId="1AEF2BD6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451 Dodatna ulaganja na građevinskim objektima – </w:t>
      </w:r>
      <w:r w:rsidR="00D4207B">
        <w:rPr>
          <w:rFonts w:cs="Times New Roman"/>
          <w:color w:val="000000" w:themeColor="text1"/>
          <w:sz w:val="24"/>
          <w:szCs w:val="24"/>
          <w:u w:val="single"/>
          <w:lang w:val="hr-HR"/>
        </w:rPr>
        <w:t>5.318.198,40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4882627A" w14:textId="27AA6ED2" w:rsid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Dodatna ulaganja na građevinskim objektima u iznosu od </w:t>
      </w:r>
      <w:r w:rsidR="00D4207B">
        <w:rPr>
          <w:rFonts w:cs="Times New Roman"/>
          <w:color w:val="000000" w:themeColor="text1"/>
          <w:sz w:val="24"/>
          <w:szCs w:val="24"/>
          <w:lang w:val="hr-HR"/>
        </w:rPr>
        <w:t>2.177.650,09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rashode za ulaganja na građevinskim objektima (</w:t>
      </w:r>
      <w:r w:rsidR="00AB0E67">
        <w:rPr>
          <w:rFonts w:cs="Times New Roman"/>
          <w:color w:val="000000" w:themeColor="text1"/>
          <w:sz w:val="24"/>
          <w:szCs w:val="24"/>
          <w:lang w:val="hr-HR"/>
        </w:rPr>
        <w:t xml:space="preserve">47.271,93 EUR – Znanstveno edukativni zabavni centar ZEZ Zagorje, 1.564.619,95 EUR – Obnova od potresa – dvorac Stubički </w:t>
      </w:r>
      <w:proofErr w:type="spellStart"/>
      <w:r w:rsidR="00AB0E67">
        <w:rPr>
          <w:rFonts w:cs="Times New Roman"/>
          <w:color w:val="000000" w:themeColor="text1"/>
          <w:sz w:val="24"/>
          <w:szCs w:val="24"/>
          <w:lang w:val="hr-HR"/>
        </w:rPr>
        <w:t>Golubovec</w:t>
      </w:r>
      <w:proofErr w:type="spellEnd"/>
      <w:r w:rsidR="00AB0E67">
        <w:rPr>
          <w:rFonts w:cs="Times New Roman"/>
          <w:color w:val="000000" w:themeColor="text1"/>
          <w:sz w:val="24"/>
          <w:szCs w:val="24"/>
          <w:lang w:val="hr-HR"/>
        </w:rPr>
        <w:t xml:space="preserve">, 34.530,75 EUR – Energetska obnova ambulante Novi </w:t>
      </w:r>
      <w:proofErr w:type="spellStart"/>
      <w:r w:rsidR="00AB0E67">
        <w:rPr>
          <w:rFonts w:cs="Times New Roman"/>
          <w:color w:val="000000" w:themeColor="text1"/>
          <w:sz w:val="24"/>
          <w:szCs w:val="24"/>
          <w:lang w:val="hr-HR"/>
        </w:rPr>
        <w:t>Golubovec</w:t>
      </w:r>
      <w:proofErr w:type="spellEnd"/>
      <w:r w:rsidR="00AB0E67">
        <w:rPr>
          <w:rFonts w:cs="Times New Roman"/>
          <w:color w:val="000000" w:themeColor="text1"/>
          <w:sz w:val="24"/>
          <w:szCs w:val="24"/>
          <w:lang w:val="hr-HR"/>
        </w:rPr>
        <w:t>, 4.527,63 EUR – Energetska obnova ambulante u Pregradi, 16.718,00 EUR – Ustanove u zdravstvu</w:t>
      </w:r>
      <w:r w:rsidR="00E10E01">
        <w:rPr>
          <w:rFonts w:cs="Times New Roman"/>
          <w:color w:val="000000" w:themeColor="text1"/>
          <w:sz w:val="24"/>
          <w:szCs w:val="24"/>
          <w:lang w:val="hr-HR"/>
        </w:rPr>
        <w:t xml:space="preserve"> (Dom zdravlja)</w:t>
      </w:r>
      <w:r w:rsidR="00456DFE">
        <w:rPr>
          <w:rFonts w:cs="Times New Roman"/>
          <w:color w:val="000000" w:themeColor="text1"/>
          <w:sz w:val="24"/>
          <w:szCs w:val="24"/>
          <w:lang w:val="hr-HR"/>
        </w:rPr>
        <w:t xml:space="preserve">, 353.978,24 EUR – dopunska sredstva za adaptaciju, izgradnju i dogradnju škola, 144.156,09 EUR – energetska obnova osnovnih i srednjih škola, 11.160,00 EUR – </w:t>
      </w:r>
      <w:r w:rsidR="00E10E01">
        <w:rPr>
          <w:rFonts w:cs="Times New Roman"/>
          <w:color w:val="000000" w:themeColor="text1"/>
          <w:sz w:val="24"/>
          <w:szCs w:val="24"/>
          <w:lang w:val="hr-HR"/>
        </w:rPr>
        <w:t>R</w:t>
      </w:r>
      <w:r w:rsidR="00456DFE">
        <w:rPr>
          <w:rFonts w:cs="Times New Roman"/>
          <w:color w:val="000000" w:themeColor="text1"/>
          <w:sz w:val="24"/>
          <w:szCs w:val="24"/>
          <w:lang w:val="hr-HR"/>
        </w:rPr>
        <w:t>ekonstrukcija i dogradnja OŠ Belec (NPOO)</w:t>
      </w:r>
      <w:r w:rsidR="00E10E01">
        <w:rPr>
          <w:rFonts w:cs="Times New Roman"/>
          <w:color w:val="000000" w:themeColor="text1"/>
          <w:sz w:val="24"/>
          <w:szCs w:val="24"/>
          <w:lang w:val="hr-HR"/>
        </w:rPr>
        <w:t>, 687,50 EUR – Dopunska sredstva za adaptaciju škola-OŠ Kumrovec)</w:t>
      </w:r>
    </w:p>
    <w:p w14:paraId="4D08B318" w14:textId="5999979B" w:rsidR="001C2019" w:rsidRPr="001C2019" w:rsidRDefault="001C2019" w:rsidP="00456DFE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Dodatna ulaganja na građevinskim objektima u iznosu od </w:t>
      </w:r>
      <w:r w:rsidR="00456DFE">
        <w:rPr>
          <w:rFonts w:cs="Times New Roman"/>
          <w:color w:val="000000" w:themeColor="text1"/>
          <w:sz w:val="24"/>
          <w:szCs w:val="24"/>
          <w:lang w:val="hr-HR"/>
        </w:rPr>
        <w:t>3.140.548,31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 EUR odnose se na proračunske korisnike</w:t>
      </w:r>
      <w:r w:rsidR="00456DFE">
        <w:rPr>
          <w:rFonts w:cs="Times New Roman"/>
          <w:color w:val="000000" w:themeColor="text1"/>
          <w:sz w:val="24"/>
          <w:szCs w:val="24"/>
          <w:lang w:val="hr-HR"/>
        </w:rPr>
        <w:t xml:space="preserve"> – ustanove u zdravstvu (</w:t>
      </w:r>
      <w:r w:rsidR="00C45C49">
        <w:rPr>
          <w:rFonts w:cs="Times New Roman"/>
          <w:color w:val="000000" w:themeColor="text1"/>
          <w:sz w:val="24"/>
          <w:szCs w:val="24"/>
          <w:lang w:val="hr-HR"/>
        </w:rPr>
        <w:t>6.895,00 EUR – Dom zdravlja KZŽ, 7.747,15 EUR – SB Stubičke Toplice, 3.125.906,16 EUR – SB Krapinske Toplice)</w:t>
      </w:r>
    </w:p>
    <w:p w14:paraId="61CB7237" w14:textId="0A279C5D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C45C49">
        <w:rPr>
          <w:rFonts w:cs="Times New Roman"/>
          <w:color w:val="000000" w:themeColor="text1"/>
          <w:sz w:val="24"/>
          <w:szCs w:val="24"/>
          <w:lang w:val="hr-HR"/>
        </w:rPr>
        <w:t>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54E9814B" w14:textId="2FE2C9F6" w:rsidR="001C2019" w:rsidRPr="001C2019" w:rsidRDefault="001C2019" w:rsidP="001C2019">
      <w:pPr>
        <w:numPr>
          <w:ilvl w:val="0"/>
          <w:numId w:val="1"/>
        </w:numPr>
        <w:tabs>
          <w:tab w:val="clear" w:pos="720"/>
        </w:tabs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452 Dodatna ulaganja na građevinskim objektima – </w:t>
      </w:r>
      <w:r w:rsidR="00C45C49">
        <w:rPr>
          <w:rFonts w:cs="Times New Roman"/>
          <w:color w:val="000000" w:themeColor="text1"/>
          <w:sz w:val="24"/>
          <w:szCs w:val="24"/>
          <w:u w:val="single"/>
          <w:lang w:val="hr-HR"/>
        </w:rPr>
        <w:t>13.242,30</w:t>
      </w:r>
      <w:r w:rsidRPr="001C2019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57C49F85" w14:textId="77EBCD5D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Dodatna ulaganja na građevinskim objektima u iznosu od </w:t>
      </w:r>
      <w:r w:rsidR="00C45C49">
        <w:rPr>
          <w:rFonts w:cs="Times New Roman"/>
          <w:color w:val="000000" w:themeColor="text1"/>
          <w:sz w:val="24"/>
          <w:szCs w:val="24"/>
          <w:lang w:val="hr-HR"/>
        </w:rPr>
        <w:t>13.242,30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 EUR odnose se na proračunske korisnike, a uključuju rashode za ulaganja na građevinskim objektima (</w:t>
      </w:r>
      <w:r w:rsidR="00C45C49">
        <w:rPr>
          <w:rFonts w:cs="Times New Roman"/>
          <w:color w:val="000000" w:themeColor="text1"/>
          <w:sz w:val="24"/>
          <w:szCs w:val="24"/>
          <w:lang w:val="hr-HR"/>
        </w:rPr>
        <w:t>SB Krapinske Toplice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). </w:t>
      </w:r>
    </w:p>
    <w:p w14:paraId="2D28A349" w14:textId="489C8444" w:rsidR="001C2019" w:rsidRPr="001C2019" w:rsidRDefault="001C2019" w:rsidP="001C2019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C45C49">
        <w:rPr>
          <w:rFonts w:cs="Times New Roman"/>
          <w:color w:val="000000" w:themeColor="text1"/>
          <w:sz w:val="24"/>
          <w:szCs w:val="24"/>
          <w:lang w:val="hr-HR"/>
        </w:rPr>
        <w:t>33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0B0CE590" w14:textId="77777777" w:rsidR="001C2019" w:rsidRPr="001C2019" w:rsidRDefault="001C2019" w:rsidP="001C2019">
      <w:pPr>
        <w:rPr>
          <w:rFonts w:cs="Times New Roman"/>
          <w:color w:val="000000" w:themeColor="text1"/>
          <w:sz w:val="24"/>
          <w:szCs w:val="24"/>
          <w:lang w:val="hr-HR"/>
        </w:rPr>
      </w:pPr>
    </w:p>
    <w:p w14:paraId="08CF8814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1CA414AD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Rashodi poslovanja (županijski dio)</w:t>
      </w:r>
    </w:p>
    <w:p w14:paraId="5DB9E72B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FE650E9" w14:textId="4B17538E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U </w:t>
      </w:r>
      <w:r w:rsidR="00BB2546">
        <w:rPr>
          <w:rFonts w:cs="Times New Roman"/>
          <w:color w:val="000000" w:themeColor="text1"/>
          <w:sz w:val="24"/>
          <w:szCs w:val="24"/>
          <w:lang w:val="hr-HR"/>
        </w:rPr>
        <w:t>razdoblju od 01.01. – 30.06.2025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BB2546">
        <w:rPr>
          <w:rFonts w:cs="Times New Roman"/>
          <w:color w:val="000000" w:themeColor="text1"/>
          <w:sz w:val="24"/>
          <w:szCs w:val="24"/>
          <w:lang w:val="hr-HR"/>
        </w:rPr>
        <w:t>e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ostvareni su ukupni rashodi u iznosu </w:t>
      </w:r>
      <w:r w:rsidR="00C45C49">
        <w:rPr>
          <w:rFonts w:cs="Times New Roman"/>
          <w:color w:val="000000" w:themeColor="text1"/>
          <w:sz w:val="24"/>
          <w:szCs w:val="24"/>
          <w:lang w:val="hr-HR"/>
        </w:rPr>
        <w:t>1</w:t>
      </w:r>
      <w:r w:rsidR="00F676B8">
        <w:rPr>
          <w:rFonts w:cs="Times New Roman"/>
          <w:color w:val="000000" w:themeColor="text1"/>
          <w:sz w:val="24"/>
          <w:szCs w:val="24"/>
          <w:lang w:val="hr-HR"/>
        </w:rPr>
        <w:t>8</w:t>
      </w:r>
      <w:r w:rsidR="00C45C49">
        <w:rPr>
          <w:rFonts w:cs="Times New Roman"/>
          <w:color w:val="000000" w:themeColor="text1"/>
          <w:sz w:val="24"/>
          <w:szCs w:val="24"/>
          <w:lang w:val="hr-HR"/>
        </w:rPr>
        <w:t>.666.326,81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od čega se na rashode poslovanja odnosi </w:t>
      </w:r>
      <w:r w:rsidR="00C45C49">
        <w:rPr>
          <w:rFonts w:cs="Times New Roman"/>
          <w:color w:val="000000" w:themeColor="text1"/>
          <w:sz w:val="24"/>
          <w:szCs w:val="24"/>
          <w:lang w:val="hr-HR"/>
        </w:rPr>
        <w:t>15.573.210,10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te rashode za nabavu nefinancijske imovine koji iznose </w:t>
      </w:r>
      <w:r w:rsidR="00C45C49">
        <w:rPr>
          <w:rFonts w:cs="Times New Roman"/>
          <w:color w:val="000000" w:themeColor="text1"/>
          <w:sz w:val="24"/>
          <w:szCs w:val="24"/>
          <w:lang w:val="hr-HR"/>
        </w:rPr>
        <w:t>3.093.116,71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EUR. Detaljniji prikaz izvršenja rashoda županijskog proračuna za 202</w:t>
      </w:r>
      <w:r w:rsidR="00C45C49">
        <w:rPr>
          <w:rFonts w:cs="Times New Roman"/>
          <w:color w:val="000000" w:themeColor="text1"/>
          <w:sz w:val="24"/>
          <w:szCs w:val="24"/>
          <w:lang w:val="hr-HR"/>
        </w:rPr>
        <w:t>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godinu dan je u Tablici 4.</w:t>
      </w:r>
    </w:p>
    <w:p w14:paraId="2EF920CC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159B2E6C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1C439EA6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0B5D33F3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1136EE5A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7DBE12ED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27D9D41F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F5B9EEE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03A060C1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0429723E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2081248A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23B4F292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85E48DD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7341B79B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5F5AA538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02711C68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79A54004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5E9A7302" w14:textId="77777777" w:rsidR="00D745A0" w:rsidRDefault="00D745A0" w:rsidP="00D745A0">
      <w:pPr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6F81CDD2" w14:textId="28AF0D35" w:rsidR="001C2019" w:rsidRPr="001C2019" w:rsidRDefault="001C2019" w:rsidP="00D745A0">
      <w:pPr>
        <w:jc w:val="center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b/>
          <w:bCs/>
          <w:color w:val="000000" w:themeColor="text1"/>
          <w:sz w:val="24"/>
          <w:szCs w:val="24"/>
          <w:lang w:val="hr-HR"/>
        </w:rPr>
        <w:lastRenderedPageBreak/>
        <w:t>Tablica 4. Struktura izvršenja rashoda (županijski dio)</w:t>
      </w:r>
    </w:p>
    <w:p w14:paraId="640D51FA" w14:textId="77777777" w:rsidR="001C2019" w:rsidRPr="001C2019" w:rsidRDefault="001C2019" w:rsidP="001C2019">
      <w:pPr>
        <w:ind w:left="7440"/>
        <w:contextualSpacing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6E0EC2AD" w14:textId="63BB054F" w:rsidR="001C2019" w:rsidRPr="001C2019" w:rsidRDefault="00F676B8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F676B8">
        <w:rPr>
          <w:noProof/>
        </w:rPr>
        <w:drawing>
          <wp:inline distT="0" distB="0" distL="0" distR="0" wp14:anchorId="70AAA7FA" wp14:editId="066714EC">
            <wp:extent cx="5760720" cy="3275965"/>
            <wp:effectExtent l="0" t="0" r="0" b="635"/>
            <wp:docPr id="162696361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7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F6567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4BF1F250" w14:textId="0D527F7D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>Rashode poslovanja Krapinsko-zagorske županije čine rashodi za zaposlene, materijalni rashodi, financijski rashodi, subvencije, pomoći, naknade građanima i kućanstvima te ostali rashodi. Rashodi za nabavu nefinancijske imovine čine rashodi za nabavu neproizvedene dugotrajne imovine i rashodi za nabavu proizvedene dugotrajne imovine te rashodi za dodatna ulaganja na nefinancijskoj imovini. Najveći udio u ukupnim rashodima čine materijalni rashodi u iznosu od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 xml:space="preserve"> 7.015.526,89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 EUR. Zatim slijede rashodi za zaposlene u iznosu od 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3.210.326,19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naknade građanima i kućanstvima u iznosu od 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2.220.913,68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</w:t>
      </w:r>
      <w:r w:rsidR="00EF7945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ostali rashodi u iznosu od 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2.210.978,79</w:t>
      </w:r>
      <w:r w:rsidR="00EF7945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rashodi za dodatna ulaganja na nefinancijskoj imovini u iznosu od 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2.177.650,09</w:t>
      </w:r>
      <w:r w:rsidR="00EF7945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,</w:t>
      </w:r>
      <w:r w:rsidR="00EF7945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rashodi za nabavu proizvedene dugotrajne imovine u iznosu od 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911.543,22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</w:t>
      </w:r>
      <w:r w:rsidR="00EF7945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subvencije u iznosu od 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476.506,48</w:t>
      </w:r>
      <w:r w:rsidR="00EF7945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,</w:t>
      </w:r>
      <w:r w:rsidR="00EF7945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321.655,74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 financijski rashodi u iznosu od 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117.302,33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 i rashodi za nabavu nefinancijske imovine u iznosu od 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3.923,40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EUR. Realizacija rashoda u 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 xml:space="preserve">prvoj polovici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e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predstavlja 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17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% godišnjeg plana. U odnosu na 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, rashodi poslovanja u 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 xml:space="preserve">prvoj polovici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5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e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1023DC">
        <w:rPr>
          <w:rFonts w:cs="Times New Roman"/>
          <w:color w:val="000000" w:themeColor="text1"/>
          <w:sz w:val="24"/>
          <w:szCs w:val="24"/>
          <w:lang w:val="hr-HR"/>
        </w:rPr>
        <w:t xml:space="preserve">veći su </w:t>
      </w:r>
      <w:r w:rsidR="00EF7945">
        <w:rPr>
          <w:rFonts w:cs="Times New Roman"/>
          <w:color w:val="000000" w:themeColor="text1"/>
          <w:sz w:val="24"/>
          <w:szCs w:val="24"/>
          <w:lang w:val="hr-HR"/>
        </w:rPr>
        <w:t>za 7%.</w:t>
      </w:r>
    </w:p>
    <w:p w14:paraId="1BE9D55C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Detaljnija struktura izvršenja županijskih rashoda i izdataka po upravnim odjelima prikazana je u Tablici 5. </w:t>
      </w:r>
    </w:p>
    <w:p w14:paraId="74AAEC48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5C377965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5738FF9E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40B327C4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4095C1A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661F1960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521D6019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4BFC9252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3863B91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FA7F31B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29262CF3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8972D76" w14:textId="25DB1EAB" w:rsidR="001C2019" w:rsidRDefault="001C2019" w:rsidP="001C2019">
      <w:pPr>
        <w:jc w:val="both"/>
        <w:rPr>
          <w:rFonts w:cs="Times New Roman"/>
          <w:b/>
          <w:bCs/>
          <w:color w:val="EE0000"/>
          <w:sz w:val="24"/>
          <w:szCs w:val="24"/>
          <w:lang w:val="hr-HR"/>
        </w:rPr>
      </w:pPr>
    </w:p>
    <w:p w14:paraId="6AB0B18B" w14:textId="77777777" w:rsidR="001A7A0F" w:rsidRPr="001C2019" w:rsidRDefault="001A7A0F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1AB7D0C6" w14:textId="77777777" w:rsidR="001C2019" w:rsidRPr="001C2019" w:rsidRDefault="001C2019" w:rsidP="00CF23EC">
      <w:pPr>
        <w:jc w:val="center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b/>
          <w:bCs/>
          <w:color w:val="000000" w:themeColor="text1"/>
          <w:sz w:val="24"/>
          <w:szCs w:val="24"/>
          <w:lang w:val="hr-HR"/>
        </w:rPr>
        <w:lastRenderedPageBreak/>
        <w:t>Tablica 5. Prikaz županijskih rashoda i izdataka po upravnim odjelima</w:t>
      </w:r>
    </w:p>
    <w:p w14:paraId="1EEA3E50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1B654514" w14:textId="4AE5BB7D" w:rsidR="001C2019" w:rsidRPr="001C2019" w:rsidRDefault="004A40C1" w:rsidP="001C2019">
      <w:pPr>
        <w:jc w:val="center"/>
        <w:rPr>
          <w:rFonts w:cs="Times New Roman"/>
          <w:color w:val="000000" w:themeColor="text1"/>
          <w:sz w:val="24"/>
          <w:szCs w:val="24"/>
          <w:lang w:val="hr-HR"/>
        </w:rPr>
      </w:pPr>
      <w:r w:rsidRPr="004A40C1">
        <w:rPr>
          <w:noProof/>
        </w:rPr>
        <w:drawing>
          <wp:inline distT="0" distB="0" distL="0" distR="0" wp14:anchorId="1093E6D3" wp14:editId="2E3BE5A5">
            <wp:extent cx="5114925" cy="3943350"/>
            <wp:effectExtent l="0" t="0" r="9525" b="0"/>
            <wp:docPr id="408698840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7C4B8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</w:p>
    <w:p w14:paraId="05E28005" w14:textId="1B0A93C1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Županijski rashodi i izdaci po upravnim odjelima iznose </w:t>
      </w:r>
      <w:r w:rsidR="004C3688">
        <w:rPr>
          <w:rFonts w:cs="Times New Roman"/>
          <w:color w:val="000000" w:themeColor="text1"/>
          <w:sz w:val="24"/>
          <w:szCs w:val="24"/>
          <w:lang w:val="hr-HR"/>
        </w:rPr>
        <w:t>19.888.316,05 EUR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. Najveći udio rashoda i izdataka nalazi se unutar Upravnog odjela za obrazovanje, kulturu, šport i tehničku kulturu u iznosu od </w:t>
      </w:r>
      <w:r w:rsidR="004C3688">
        <w:rPr>
          <w:rFonts w:cs="Times New Roman"/>
          <w:color w:val="000000" w:themeColor="text1"/>
          <w:sz w:val="24"/>
          <w:szCs w:val="24"/>
          <w:lang w:val="hr-HR"/>
        </w:rPr>
        <w:t>8.516.424,50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EUR. Zatim slijedi Upravni odjel za financije i proračun u iznosu od </w:t>
      </w:r>
      <w:r w:rsidR="004C3688">
        <w:rPr>
          <w:rFonts w:cs="Times New Roman"/>
          <w:color w:val="000000" w:themeColor="text1"/>
          <w:sz w:val="24"/>
          <w:szCs w:val="24"/>
          <w:lang w:val="hr-HR"/>
        </w:rPr>
        <w:t>3.531.092,69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</w:t>
      </w:r>
      <w:r w:rsidR="004C3688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Upravni odjel za javnu nabavu i EU fondove u iznosu od </w:t>
      </w:r>
      <w:r w:rsidR="004C3688">
        <w:rPr>
          <w:rFonts w:cs="Times New Roman"/>
          <w:color w:val="000000" w:themeColor="text1"/>
          <w:sz w:val="24"/>
          <w:szCs w:val="24"/>
          <w:lang w:val="hr-HR"/>
        </w:rPr>
        <w:t>1.721.159,79</w:t>
      </w:r>
      <w:r w:rsidR="004C3688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4C3688">
        <w:rPr>
          <w:rFonts w:cs="Times New Roman"/>
          <w:color w:val="000000" w:themeColor="text1"/>
          <w:sz w:val="24"/>
          <w:szCs w:val="24"/>
          <w:lang w:val="hr-HR"/>
        </w:rPr>
        <w:t>,</w:t>
      </w:r>
      <w:r w:rsidR="004C3688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Upravni odjel za gospodarstvo, poljoprivredu, turizam, promet i komunalnu infrastrukturu u iznosu od </w:t>
      </w:r>
      <w:r w:rsidR="004C3688">
        <w:rPr>
          <w:rFonts w:cs="Times New Roman"/>
          <w:color w:val="000000" w:themeColor="text1"/>
          <w:sz w:val="24"/>
          <w:szCs w:val="24"/>
          <w:lang w:val="hr-HR"/>
        </w:rPr>
        <w:t>1.633.330,95</w:t>
      </w:r>
      <w:r w:rsidR="004C3688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4C3688">
        <w:rPr>
          <w:rFonts w:cs="Times New Roman"/>
          <w:color w:val="000000" w:themeColor="text1"/>
          <w:sz w:val="24"/>
          <w:szCs w:val="24"/>
          <w:lang w:val="hr-HR"/>
        </w:rPr>
        <w:t>,</w:t>
      </w:r>
      <w:r w:rsidR="004C3688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Upravni odjel za poslove župana i Županijske skupštine u iznosu od </w:t>
      </w:r>
      <w:r w:rsidR="004C3688">
        <w:rPr>
          <w:rFonts w:cs="Times New Roman"/>
          <w:color w:val="000000" w:themeColor="text1"/>
          <w:sz w:val="24"/>
          <w:szCs w:val="24"/>
          <w:lang w:val="hr-HR"/>
        </w:rPr>
        <w:t>1.494.412,46</w:t>
      </w:r>
      <w:r w:rsidR="004C3688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4C3688">
        <w:rPr>
          <w:rFonts w:cs="Times New Roman"/>
          <w:color w:val="000000" w:themeColor="text1"/>
          <w:sz w:val="24"/>
          <w:szCs w:val="24"/>
          <w:lang w:val="hr-HR"/>
        </w:rPr>
        <w:t>,</w:t>
      </w:r>
      <w:r w:rsidR="004C3688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Upravni odjel za zdravstvo, socijalnu politiku, branitelje civilno društvo i mlade u iznosu od </w:t>
      </w:r>
      <w:r w:rsidR="004C3688">
        <w:rPr>
          <w:rFonts w:cs="Times New Roman"/>
          <w:color w:val="000000" w:themeColor="text1"/>
          <w:sz w:val="24"/>
          <w:szCs w:val="24"/>
          <w:lang w:val="hr-HR"/>
        </w:rPr>
        <w:t>1.386.226,91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EUR, </w:t>
      </w:r>
      <w:r w:rsidR="004C3688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Upravni odjel za opću upravu, imovinsko-pravne i zajedničke poslove u iznosu od </w:t>
      </w:r>
      <w:r w:rsidR="004C3688">
        <w:rPr>
          <w:rFonts w:cs="Times New Roman"/>
          <w:color w:val="000000" w:themeColor="text1"/>
          <w:sz w:val="24"/>
          <w:szCs w:val="24"/>
          <w:lang w:val="hr-HR"/>
        </w:rPr>
        <w:t>966.150,64</w:t>
      </w:r>
      <w:r w:rsidR="004C3688" w:rsidRPr="001C2019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4C3688">
        <w:rPr>
          <w:rFonts w:cs="Times New Roman"/>
          <w:color w:val="000000" w:themeColor="text1"/>
          <w:sz w:val="24"/>
          <w:szCs w:val="24"/>
          <w:lang w:val="hr-HR"/>
        </w:rPr>
        <w:t xml:space="preserve"> i </w:t>
      </w:r>
      <w:r w:rsidRPr="001C2019">
        <w:rPr>
          <w:rFonts w:cs="Times New Roman"/>
          <w:color w:val="000000" w:themeColor="text1"/>
          <w:sz w:val="24"/>
          <w:szCs w:val="24"/>
          <w:lang w:val="hr-HR"/>
        </w:rPr>
        <w:t>Upravni odjel za prostorno uređenje, gradnju i zaštitu okoliša u iznosu od</w:t>
      </w:r>
      <w:r w:rsidR="004C3688">
        <w:rPr>
          <w:rFonts w:cs="Times New Roman"/>
          <w:color w:val="000000" w:themeColor="text1"/>
          <w:sz w:val="24"/>
          <w:szCs w:val="24"/>
          <w:lang w:val="hr-HR"/>
        </w:rPr>
        <w:t xml:space="preserve"> 639.518,11 EUR.</w:t>
      </w:r>
    </w:p>
    <w:p w14:paraId="5D55E3A1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30A90F2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07677E9E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287119B0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15F347D0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3116A5FE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CEADA4A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68C51AA1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6C9B72D8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2291B8F0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B709B64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3A061AC1" w14:textId="77777777" w:rsidR="001C2019" w:rsidRP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173D2646" w14:textId="77777777" w:rsidR="001C2019" w:rsidRDefault="001C2019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15A06B77" w14:textId="77777777" w:rsidR="004A40C1" w:rsidRDefault="004A40C1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008E9BFB" w14:textId="77777777" w:rsidR="004A40C1" w:rsidRPr="001C2019" w:rsidRDefault="004A40C1" w:rsidP="001C2019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1FF1FBD6" w14:textId="2D982B52" w:rsidR="001C2019" w:rsidRPr="001C2019" w:rsidRDefault="001C2019" w:rsidP="004A40C1">
      <w:pPr>
        <w:jc w:val="center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b/>
          <w:bCs/>
          <w:color w:val="000000" w:themeColor="text1"/>
          <w:sz w:val="24"/>
          <w:szCs w:val="24"/>
          <w:lang w:val="hr-HR"/>
        </w:rPr>
        <w:lastRenderedPageBreak/>
        <w:t>Tablica 6. Rashodi i izdaci prema funkcijskoj klasifikaciji</w:t>
      </w:r>
      <w:r w:rsidR="004A40C1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 (konsolidirani proračun)</w:t>
      </w:r>
    </w:p>
    <w:p w14:paraId="770B9DD1" w14:textId="77777777" w:rsidR="001C2019" w:rsidRPr="001C2019" w:rsidRDefault="001C2019" w:rsidP="004A40C1">
      <w:pPr>
        <w:jc w:val="center"/>
        <w:rPr>
          <w:rFonts w:cs="Times New Roman"/>
          <w:b/>
          <w:color w:val="000000" w:themeColor="text1"/>
          <w:sz w:val="24"/>
          <w:szCs w:val="24"/>
          <w:lang w:val="hr-HR"/>
        </w:rPr>
      </w:pPr>
    </w:p>
    <w:p w14:paraId="13B243FA" w14:textId="6ADD7AFE" w:rsidR="001C2019" w:rsidRPr="001C2019" w:rsidRDefault="00B3396F" w:rsidP="001C2019">
      <w:pPr>
        <w:jc w:val="both"/>
        <w:rPr>
          <w:rFonts w:cs="Times New Roman"/>
          <w:b/>
          <w:color w:val="000000" w:themeColor="text1"/>
          <w:sz w:val="24"/>
          <w:szCs w:val="24"/>
          <w:lang w:val="hr-HR"/>
        </w:rPr>
      </w:pPr>
      <w:r w:rsidRPr="00B3396F">
        <w:rPr>
          <w:noProof/>
        </w:rPr>
        <w:drawing>
          <wp:inline distT="0" distB="0" distL="0" distR="0" wp14:anchorId="4A685BA7" wp14:editId="39F1A749">
            <wp:extent cx="5760720" cy="2783205"/>
            <wp:effectExtent l="0" t="0" r="0" b="0"/>
            <wp:docPr id="1164473166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8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69AC6" w14:textId="77777777" w:rsidR="001C2019" w:rsidRPr="001C2019" w:rsidRDefault="001C2019" w:rsidP="001C2019">
      <w:pPr>
        <w:jc w:val="both"/>
        <w:rPr>
          <w:rFonts w:cs="Times New Roman"/>
          <w:b/>
          <w:color w:val="000000" w:themeColor="text1"/>
          <w:sz w:val="24"/>
          <w:szCs w:val="24"/>
          <w:lang w:val="hr-HR"/>
        </w:rPr>
      </w:pPr>
    </w:p>
    <w:p w14:paraId="01CC6651" w14:textId="6136B3EE" w:rsidR="001C2019" w:rsidRPr="001C2019" w:rsidRDefault="001C2019" w:rsidP="001C2019">
      <w:pPr>
        <w:jc w:val="both"/>
        <w:rPr>
          <w:rFonts w:cs="Times New Roman"/>
          <w:bCs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bCs/>
          <w:color w:val="000000" w:themeColor="text1"/>
          <w:sz w:val="24"/>
          <w:szCs w:val="24"/>
          <w:lang w:val="hr-HR"/>
        </w:rPr>
        <w:t xml:space="preserve">Najveći udio rashoda i izdataka prema funkcijskoj klasifikaciji u iznosu od </w:t>
      </w:r>
      <w:r w:rsidR="00F87E86">
        <w:rPr>
          <w:rFonts w:cs="Times New Roman"/>
          <w:bCs/>
          <w:color w:val="000000" w:themeColor="text1"/>
          <w:sz w:val="24"/>
          <w:szCs w:val="24"/>
          <w:lang w:val="hr-HR"/>
        </w:rPr>
        <w:t>47.769.137,12</w:t>
      </w:r>
      <w:r w:rsidRPr="001C2019">
        <w:rPr>
          <w:rFonts w:cs="Times New Roman"/>
          <w:bCs/>
          <w:color w:val="000000" w:themeColor="text1"/>
          <w:sz w:val="24"/>
          <w:szCs w:val="24"/>
          <w:lang w:val="hr-HR"/>
        </w:rPr>
        <w:t xml:space="preserve"> EUR odnosi se na funkcijsku klasifikaciju 09 Obrazovanje. Zatim slijedi funkcijska klasifikacija 07 Zdravstvo u iznosu od </w:t>
      </w:r>
      <w:r w:rsidR="00F87E86">
        <w:rPr>
          <w:rFonts w:cs="Times New Roman"/>
          <w:bCs/>
          <w:color w:val="000000" w:themeColor="text1"/>
          <w:sz w:val="24"/>
          <w:szCs w:val="24"/>
          <w:lang w:val="hr-HR"/>
        </w:rPr>
        <w:t>37.741.018,47</w:t>
      </w:r>
      <w:r w:rsidRPr="001C2019">
        <w:rPr>
          <w:rFonts w:cs="Times New Roman"/>
          <w:bCs/>
          <w:color w:val="000000" w:themeColor="text1"/>
          <w:sz w:val="24"/>
          <w:szCs w:val="24"/>
          <w:lang w:val="hr-HR"/>
        </w:rPr>
        <w:t xml:space="preserve"> EUR i 01 Opće javne usluge u iznosu od </w:t>
      </w:r>
      <w:r w:rsidR="005C1D95">
        <w:rPr>
          <w:rFonts w:cs="Times New Roman"/>
          <w:bCs/>
          <w:color w:val="000000" w:themeColor="text1"/>
          <w:sz w:val="24"/>
          <w:szCs w:val="24"/>
          <w:lang w:val="hr-HR"/>
        </w:rPr>
        <w:t>4.962.926,03</w:t>
      </w:r>
      <w:r w:rsidRPr="001C2019">
        <w:rPr>
          <w:rFonts w:cs="Times New Roman"/>
          <w:bCs/>
          <w:color w:val="000000" w:themeColor="text1"/>
          <w:sz w:val="24"/>
          <w:szCs w:val="24"/>
          <w:lang w:val="hr-HR"/>
        </w:rPr>
        <w:t xml:space="preserve"> EUR. Ostale funkcijske klasifikacije odnose se na javni red i sigurnost, zaštitu okoliša, ekonomski poslovi, usluge unapređenja stanovanja i zajednice, rekreaciju, kulturu i religiju te socijalnu zaštitu u iznosu od </w:t>
      </w:r>
      <w:r w:rsidR="005C1D95">
        <w:rPr>
          <w:rFonts w:cs="Times New Roman"/>
          <w:bCs/>
          <w:color w:val="000000" w:themeColor="text1"/>
          <w:sz w:val="24"/>
          <w:szCs w:val="24"/>
          <w:lang w:val="hr-HR"/>
        </w:rPr>
        <w:t>4.212.639,44</w:t>
      </w:r>
      <w:r w:rsidRPr="001C2019">
        <w:rPr>
          <w:rFonts w:cs="Times New Roman"/>
          <w:bCs/>
          <w:color w:val="000000" w:themeColor="text1"/>
          <w:sz w:val="24"/>
          <w:szCs w:val="24"/>
          <w:lang w:val="hr-HR"/>
        </w:rPr>
        <w:t xml:space="preserve"> EUR.</w:t>
      </w:r>
    </w:p>
    <w:p w14:paraId="197DD060" w14:textId="77777777" w:rsidR="001C2019" w:rsidRPr="001C2019" w:rsidRDefault="001C2019" w:rsidP="001C2019">
      <w:pPr>
        <w:jc w:val="both"/>
        <w:rPr>
          <w:rFonts w:cs="Times New Roman"/>
          <w:b/>
          <w:color w:val="000000" w:themeColor="text1"/>
          <w:sz w:val="24"/>
          <w:szCs w:val="24"/>
          <w:lang w:val="hr-HR"/>
        </w:rPr>
      </w:pPr>
    </w:p>
    <w:p w14:paraId="0AAFA708" w14:textId="77777777" w:rsidR="001C2019" w:rsidRPr="001C2019" w:rsidRDefault="001C2019" w:rsidP="001C2019">
      <w:pPr>
        <w:jc w:val="both"/>
        <w:rPr>
          <w:rFonts w:cs="Times New Roman"/>
          <w:b/>
          <w:color w:val="000000" w:themeColor="text1"/>
          <w:sz w:val="24"/>
          <w:szCs w:val="24"/>
          <w:lang w:val="hr-HR"/>
        </w:rPr>
      </w:pPr>
      <w:r w:rsidRPr="001C2019">
        <w:rPr>
          <w:rFonts w:cs="Times New Roman"/>
          <w:b/>
          <w:color w:val="000000" w:themeColor="text1"/>
          <w:sz w:val="24"/>
          <w:szCs w:val="24"/>
          <w:lang w:val="hr-HR"/>
        </w:rPr>
        <w:t>Račun financiranja</w:t>
      </w:r>
    </w:p>
    <w:p w14:paraId="0FA79236" w14:textId="77777777" w:rsidR="001C2019" w:rsidRPr="001C2019" w:rsidRDefault="001C2019" w:rsidP="001C2019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2AA0CCDA" w14:textId="1BE35ED7" w:rsidR="001C2019" w:rsidRPr="001C2019" w:rsidRDefault="001C2019" w:rsidP="001C2019">
      <w:pPr>
        <w:jc w:val="both"/>
        <w:rPr>
          <w:rFonts w:cs="Times New Roman"/>
          <w:sz w:val="24"/>
          <w:szCs w:val="24"/>
          <w:lang w:val="hr-HR"/>
        </w:rPr>
      </w:pPr>
      <w:r w:rsidRPr="001C2019">
        <w:rPr>
          <w:rFonts w:cs="Times New Roman"/>
          <w:sz w:val="24"/>
          <w:szCs w:val="24"/>
          <w:lang w:val="hr-HR"/>
        </w:rPr>
        <w:t xml:space="preserve">Primici od financijske imovine i zaduživanja (konsolidirani Proračun) iznose </w:t>
      </w:r>
      <w:r w:rsidR="005C1D95">
        <w:rPr>
          <w:rFonts w:cs="Times New Roman"/>
          <w:sz w:val="24"/>
          <w:szCs w:val="24"/>
          <w:lang w:val="hr-HR"/>
        </w:rPr>
        <w:t>70.477,73</w:t>
      </w:r>
      <w:r w:rsidRPr="001C2019">
        <w:rPr>
          <w:rFonts w:cs="Times New Roman"/>
          <w:sz w:val="24"/>
          <w:szCs w:val="24"/>
          <w:lang w:val="hr-HR"/>
        </w:rPr>
        <w:t xml:space="preserve"> EUR što predstavlja </w:t>
      </w:r>
      <w:r w:rsidR="005C1D95">
        <w:rPr>
          <w:rFonts w:cs="Times New Roman"/>
          <w:sz w:val="24"/>
          <w:szCs w:val="24"/>
          <w:lang w:val="hr-HR"/>
        </w:rPr>
        <w:t>1</w:t>
      </w:r>
      <w:r w:rsidRPr="001C2019">
        <w:rPr>
          <w:rFonts w:cs="Times New Roman"/>
          <w:sz w:val="24"/>
          <w:szCs w:val="24"/>
          <w:lang w:val="hr-HR"/>
        </w:rPr>
        <w:t xml:space="preserve">% godišnjeg plana, dok izdaci za financijsku imovinu i otplate zajmova iznose </w:t>
      </w:r>
      <w:r w:rsidR="005C1D95">
        <w:rPr>
          <w:rFonts w:cs="Times New Roman"/>
          <w:sz w:val="24"/>
          <w:szCs w:val="24"/>
          <w:lang w:val="hr-HR"/>
        </w:rPr>
        <w:t>1.222.000,80</w:t>
      </w:r>
      <w:r w:rsidRPr="001C2019">
        <w:rPr>
          <w:rFonts w:cs="Times New Roman"/>
          <w:sz w:val="24"/>
          <w:szCs w:val="24"/>
          <w:lang w:val="hr-HR"/>
        </w:rPr>
        <w:t xml:space="preserve"> EUR što predstavlja </w:t>
      </w:r>
      <w:r w:rsidR="005C1D95">
        <w:rPr>
          <w:rFonts w:cs="Times New Roman"/>
          <w:sz w:val="24"/>
          <w:szCs w:val="24"/>
          <w:lang w:val="hr-HR"/>
        </w:rPr>
        <w:t>66</w:t>
      </w:r>
      <w:r w:rsidRPr="001C2019">
        <w:rPr>
          <w:rFonts w:cs="Times New Roman"/>
          <w:sz w:val="24"/>
          <w:szCs w:val="24"/>
          <w:lang w:val="hr-HR"/>
        </w:rPr>
        <w:t>% godišnjeg plana.</w:t>
      </w:r>
    </w:p>
    <w:p w14:paraId="75DF999D" w14:textId="07BE505A" w:rsidR="001C2019" w:rsidRPr="001C2019" w:rsidRDefault="001C2019" w:rsidP="001C2019">
      <w:pPr>
        <w:jc w:val="both"/>
        <w:rPr>
          <w:rFonts w:cs="Times New Roman"/>
          <w:sz w:val="24"/>
          <w:szCs w:val="24"/>
          <w:lang w:val="hr-HR"/>
        </w:rPr>
      </w:pPr>
      <w:r w:rsidRPr="001C2019">
        <w:rPr>
          <w:rFonts w:cs="Times New Roman"/>
          <w:sz w:val="24"/>
          <w:szCs w:val="24"/>
          <w:lang w:val="hr-HR"/>
        </w:rPr>
        <w:t xml:space="preserve">Račun financiranja (županijski proračun) sadrži primitke realizirane u iznosu od </w:t>
      </w:r>
      <w:r w:rsidR="005C1D95">
        <w:rPr>
          <w:rFonts w:cs="Times New Roman"/>
          <w:sz w:val="24"/>
          <w:szCs w:val="24"/>
          <w:lang w:val="hr-HR"/>
        </w:rPr>
        <w:t>70.477,73</w:t>
      </w:r>
      <w:r w:rsidRPr="001C2019">
        <w:rPr>
          <w:rFonts w:cs="Times New Roman"/>
          <w:sz w:val="24"/>
          <w:szCs w:val="24"/>
          <w:lang w:val="hr-HR"/>
        </w:rPr>
        <w:t xml:space="preserve"> EUR te izdatke koji su realizirani u iznosu od </w:t>
      </w:r>
      <w:r w:rsidR="005C1D95">
        <w:rPr>
          <w:rFonts w:cs="Times New Roman"/>
          <w:sz w:val="24"/>
          <w:szCs w:val="24"/>
          <w:lang w:val="hr-HR"/>
        </w:rPr>
        <w:t>1.221.989,24</w:t>
      </w:r>
      <w:r w:rsidRPr="001C2019">
        <w:rPr>
          <w:rFonts w:cs="Times New Roman"/>
          <w:sz w:val="24"/>
          <w:szCs w:val="24"/>
          <w:lang w:val="hr-HR"/>
        </w:rPr>
        <w:t xml:space="preserve"> EUR.</w:t>
      </w:r>
    </w:p>
    <w:p w14:paraId="1E1514BF" w14:textId="421DFC16" w:rsidR="001C2019" w:rsidRPr="001C2019" w:rsidRDefault="001C2019" w:rsidP="001C2019">
      <w:pPr>
        <w:jc w:val="both"/>
        <w:rPr>
          <w:rFonts w:cs="Times New Roman"/>
          <w:sz w:val="24"/>
          <w:szCs w:val="24"/>
          <w:lang w:val="hr-HR"/>
        </w:rPr>
      </w:pPr>
      <w:r w:rsidRPr="001C2019">
        <w:rPr>
          <w:rFonts w:cs="Times New Roman"/>
          <w:sz w:val="24"/>
          <w:szCs w:val="24"/>
          <w:lang w:val="hr-HR"/>
        </w:rPr>
        <w:t xml:space="preserve">Primici županijskog proračuna u iznosu od </w:t>
      </w:r>
      <w:r w:rsidR="005C1D95">
        <w:rPr>
          <w:rFonts w:cs="Times New Roman"/>
          <w:sz w:val="24"/>
          <w:szCs w:val="24"/>
          <w:lang w:val="hr-HR"/>
        </w:rPr>
        <w:t>70.477,73</w:t>
      </w:r>
      <w:r w:rsidRPr="001C2019">
        <w:rPr>
          <w:rFonts w:cs="Times New Roman"/>
          <w:sz w:val="24"/>
          <w:szCs w:val="24"/>
          <w:lang w:val="hr-HR"/>
        </w:rPr>
        <w:t xml:space="preserve"> EUR odnose se na: </w:t>
      </w:r>
    </w:p>
    <w:p w14:paraId="29C9AED7" w14:textId="5373BBB4" w:rsidR="001C2019" w:rsidRPr="001C2019" w:rsidRDefault="001C2019">
      <w:pPr>
        <w:numPr>
          <w:ilvl w:val="0"/>
          <w:numId w:val="4"/>
        </w:numPr>
        <w:suppressAutoHyphens w:val="0"/>
        <w:jc w:val="both"/>
        <w:rPr>
          <w:rFonts w:eastAsiaTheme="minorHAnsi" w:cs="Times New Roman"/>
          <w:sz w:val="24"/>
          <w:szCs w:val="24"/>
          <w:lang w:val="hr-HR" w:eastAsia="en-US"/>
        </w:rPr>
      </w:pPr>
      <w:r w:rsidRPr="001C2019">
        <w:rPr>
          <w:rFonts w:eastAsiaTheme="minorHAnsi" w:cs="Times New Roman"/>
          <w:sz w:val="24"/>
          <w:szCs w:val="24"/>
          <w:lang w:val="hr-HR" w:eastAsia="en-US"/>
        </w:rPr>
        <w:t xml:space="preserve"> </w:t>
      </w:r>
      <w:r w:rsidR="005C1D95">
        <w:rPr>
          <w:rFonts w:eastAsiaTheme="minorHAnsi" w:cs="Times New Roman"/>
          <w:sz w:val="24"/>
          <w:szCs w:val="24"/>
          <w:lang w:val="hr-HR" w:eastAsia="en-US"/>
        </w:rPr>
        <w:t xml:space="preserve">64.454,89 </w:t>
      </w:r>
      <w:r w:rsidRPr="001C2019">
        <w:rPr>
          <w:rFonts w:eastAsiaTheme="minorHAnsi" w:cs="Times New Roman"/>
          <w:sz w:val="24"/>
          <w:szCs w:val="24"/>
          <w:lang w:val="hr-HR" w:eastAsia="en-US"/>
        </w:rPr>
        <w:t xml:space="preserve">EUR – uplata (povrat) </w:t>
      </w:r>
      <w:r w:rsidR="005C1D95">
        <w:rPr>
          <w:rFonts w:eastAsiaTheme="minorHAnsi" w:cs="Times New Roman"/>
          <w:sz w:val="24"/>
          <w:szCs w:val="24"/>
          <w:lang w:val="hr-HR" w:eastAsia="en-US"/>
        </w:rPr>
        <w:t>- Lokalni garantni fond (Poduzetnički centar)</w:t>
      </w:r>
      <w:r w:rsidRPr="001C2019">
        <w:rPr>
          <w:rFonts w:eastAsiaTheme="minorHAnsi" w:cs="Times New Roman"/>
          <w:sz w:val="24"/>
          <w:szCs w:val="24"/>
          <w:lang w:val="hr-HR" w:eastAsia="en-US"/>
        </w:rPr>
        <w:t>,</w:t>
      </w:r>
    </w:p>
    <w:p w14:paraId="39454493" w14:textId="48AB4618" w:rsidR="001C2019" w:rsidRPr="001C2019" w:rsidRDefault="001C2019">
      <w:pPr>
        <w:numPr>
          <w:ilvl w:val="0"/>
          <w:numId w:val="4"/>
        </w:numPr>
        <w:suppressAutoHyphens w:val="0"/>
        <w:jc w:val="both"/>
        <w:rPr>
          <w:rFonts w:eastAsiaTheme="minorHAnsi" w:cs="Times New Roman"/>
          <w:sz w:val="24"/>
          <w:szCs w:val="24"/>
          <w:lang w:val="hr-HR" w:eastAsia="en-US"/>
        </w:rPr>
      </w:pPr>
      <w:r w:rsidRPr="001C2019">
        <w:rPr>
          <w:rFonts w:eastAsiaTheme="minorHAnsi" w:cs="Times New Roman"/>
          <w:sz w:val="24"/>
          <w:szCs w:val="24"/>
          <w:lang w:val="hr-HR" w:eastAsia="en-US"/>
        </w:rPr>
        <w:t xml:space="preserve"> </w:t>
      </w:r>
      <w:r w:rsidR="005C1D95">
        <w:rPr>
          <w:rFonts w:eastAsiaTheme="minorHAnsi" w:cs="Times New Roman"/>
          <w:sz w:val="24"/>
          <w:szCs w:val="24"/>
          <w:lang w:val="hr-HR" w:eastAsia="en-US"/>
        </w:rPr>
        <w:t xml:space="preserve">6.022,84 </w:t>
      </w:r>
      <w:r w:rsidRPr="001C2019">
        <w:rPr>
          <w:rFonts w:eastAsiaTheme="minorHAnsi" w:cs="Times New Roman"/>
          <w:sz w:val="24"/>
          <w:szCs w:val="24"/>
          <w:lang w:val="hr-HR" w:eastAsia="en-US"/>
        </w:rPr>
        <w:t xml:space="preserve">EUR – uplata (povrat) sredstava temeljem aktiviranog jamstva po kreditima </w:t>
      </w:r>
    </w:p>
    <w:p w14:paraId="31648668" w14:textId="014A382E" w:rsidR="001C2019" w:rsidRPr="001C2019" w:rsidRDefault="001C2019" w:rsidP="001C2019">
      <w:pPr>
        <w:suppressAutoHyphens w:val="0"/>
        <w:jc w:val="both"/>
        <w:rPr>
          <w:rFonts w:eastAsiaTheme="minorHAnsi" w:cs="Times New Roman"/>
          <w:sz w:val="24"/>
          <w:szCs w:val="24"/>
          <w:lang w:val="hr-HR" w:eastAsia="en-US"/>
        </w:rPr>
      </w:pPr>
      <w:r w:rsidRPr="001C2019">
        <w:rPr>
          <w:rFonts w:eastAsiaTheme="minorHAnsi" w:cs="Times New Roman"/>
          <w:sz w:val="24"/>
          <w:szCs w:val="24"/>
          <w:lang w:val="hr-HR" w:eastAsia="en-US"/>
        </w:rPr>
        <w:t xml:space="preserve">Izdaci županijskog proračuna u iznosu od </w:t>
      </w:r>
      <w:r w:rsidR="005C1D95">
        <w:rPr>
          <w:rFonts w:eastAsiaTheme="minorHAnsi" w:cs="Times New Roman"/>
          <w:sz w:val="24"/>
          <w:szCs w:val="24"/>
          <w:lang w:val="hr-HR" w:eastAsia="en-US"/>
        </w:rPr>
        <w:t>1.221.989,24</w:t>
      </w:r>
      <w:r w:rsidRPr="001C2019">
        <w:rPr>
          <w:rFonts w:eastAsiaTheme="minorHAnsi" w:cs="Times New Roman"/>
          <w:sz w:val="24"/>
          <w:szCs w:val="24"/>
          <w:lang w:val="hr-HR" w:eastAsia="en-US"/>
        </w:rPr>
        <w:t xml:space="preserve"> EUR odnose se na:</w:t>
      </w:r>
    </w:p>
    <w:p w14:paraId="788516CC" w14:textId="706A924C" w:rsidR="001C2019" w:rsidRPr="001C2019" w:rsidRDefault="000C34D5">
      <w:pPr>
        <w:numPr>
          <w:ilvl w:val="0"/>
          <w:numId w:val="5"/>
        </w:numPr>
        <w:suppressAutoHyphens w:val="0"/>
        <w:jc w:val="both"/>
        <w:rPr>
          <w:rFonts w:eastAsiaTheme="minorHAnsi" w:cs="Times New Roman"/>
          <w:sz w:val="24"/>
          <w:szCs w:val="24"/>
          <w:lang w:val="hr-HR" w:eastAsia="en-US"/>
        </w:rPr>
      </w:pPr>
      <w:r>
        <w:rPr>
          <w:rFonts w:eastAsiaTheme="minorHAnsi" w:cs="Times New Roman"/>
          <w:sz w:val="24"/>
          <w:szCs w:val="24"/>
          <w:lang w:val="hr-HR" w:eastAsia="en-US"/>
        </w:rPr>
        <w:t>79.633,68</w:t>
      </w:r>
      <w:r w:rsidR="001C2019" w:rsidRPr="001C2019">
        <w:rPr>
          <w:rFonts w:eastAsiaTheme="minorHAnsi" w:cs="Times New Roman"/>
          <w:sz w:val="24"/>
          <w:szCs w:val="24"/>
          <w:lang w:val="hr-HR" w:eastAsia="en-US"/>
        </w:rPr>
        <w:t xml:space="preserve"> EUR – otplata kredita zdravstvenih ustanova (SB Stubičke Toplice)</w:t>
      </w:r>
    </w:p>
    <w:p w14:paraId="0A75F6E0" w14:textId="321064A9" w:rsidR="000C34D5" w:rsidRPr="006C2AD0" w:rsidRDefault="006C2AD0" w:rsidP="006C2AD0">
      <w:pPr>
        <w:numPr>
          <w:ilvl w:val="0"/>
          <w:numId w:val="5"/>
        </w:numPr>
        <w:suppressAutoHyphens w:val="0"/>
        <w:jc w:val="both"/>
        <w:rPr>
          <w:rFonts w:eastAsiaTheme="minorHAnsi" w:cs="Times New Roman"/>
          <w:sz w:val="24"/>
          <w:szCs w:val="24"/>
          <w:lang w:val="hr-HR" w:eastAsia="en-US"/>
        </w:rPr>
      </w:pPr>
      <w:r>
        <w:rPr>
          <w:rFonts w:eastAsiaTheme="minorHAnsi" w:cs="Times New Roman"/>
          <w:sz w:val="24"/>
          <w:szCs w:val="24"/>
          <w:lang w:val="hr-HR" w:eastAsia="en-US"/>
        </w:rPr>
        <w:t>48.912,81</w:t>
      </w:r>
      <w:r w:rsidR="001C2019" w:rsidRPr="001C2019">
        <w:rPr>
          <w:rFonts w:eastAsiaTheme="minorHAnsi" w:cs="Times New Roman"/>
          <w:sz w:val="24"/>
          <w:szCs w:val="24"/>
          <w:lang w:val="hr-HR" w:eastAsia="en-US"/>
        </w:rPr>
        <w:t xml:space="preserve"> EUR – otplata kredita zdravstvenih ustanova (Zavod za hitnu medicinu)</w:t>
      </w:r>
    </w:p>
    <w:p w14:paraId="62B53486" w14:textId="42BA0D54" w:rsidR="000C34D5" w:rsidRPr="001C2019" w:rsidRDefault="000C34D5">
      <w:pPr>
        <w:numPr>
          <w:ilvl w:val="0"/>
          <w:numId w:val="5"/>
        </w:numPr>
        <w:suppressAutoHyphens w:val="0"/>
        <w:jc w:val="both"/>
        <w:rPr>
          <w:rFonts w:eastAsiaTheme="minorHAnsi" w:cs="Times New Roman"/>
          <w:sz w:val="24"/>
          <w:szCs w:val="24"/>
          <w:lang w:val="hr-HR" w:eastAsia="en-US"/>
        </w:rPr>
      </w:pPr>
      <w:r>
        <w:rPr>
          <w:rFonts w:eastAsiaTheme="minorHAnsi" w:cs="Times New Roman"/>
          <w:sz w:val="24"/>
          <w:szCs w:val="24"/>
          <w:lang w:val="hr-HR" w:eastAsia="en-US"/>
        </w:rPr>
        <w:t>175.383,72 EUR – otplata kredita – SŠ Zabok (za projekt Regionalni centar kompetentnosti u turizmu i ugostiteljstvu)</w:t>
      </w:r>
    </w:p>
    <w:p w14:paraId="3ED08DBD" w14:textId="3DDFC299" w:rsidR="001C2019" w:rsidRPr="001C2019" w:rsidRDefault="0011674C">
      <w:pPr>
        <w:numPr>
          <w:ilvl w:val="0"/>
          <w:numId w:val="5"/>
        </w:numPr>
        <w:suppressAutoHyphens w:val="0"/>
        <w:jc w:val="both"/>
        <w:rPr>
          <w:rFonts w:eastAsiaTheme="minorHAnsi" w:cs="Times New Roman"/>
          <w:sz w:val="24"/>
          <w:szCs w:val="24"/>
          <w:lang w:val="hr-HR" w:eastAsia="en-US"/>
        </w:rPr>
      </w:pPr>
      <w:r>
        <w:rPr>
          <w:rFonts w:eastAsiaTheme="minorHAnsi" w:cs="Times New Roman"/>
          <w:sz w:val="24"/>
          <w:szCs w:val="24"/>
          <w:lang w:val="hr-HR" w:eastAsia="en-US"/>
        </w:rPr>
        <w:t>217.768,70</w:t>
      </w:r>
      <w:r w:rsidR="001C2019" w:rsidRPr="001C2019">
        <w:rPr>
          <w:rFonts w:eastAsiaTheme="minorHAnsi" w:cs="Times New Roman"/>
          <w:sz w:val="24"/>
          <w:szCs w:val="24"/>
          <w:lang w:val="hr-HR" w:eastAsia="en-US"/>
        </w:rPr>
        <w:t xml:space="preserve"> EUR – otplata glavnice po kreditima Županije (PBZ banka) </w:t>
      </w:r>
    </w:p>
    <w:p w14:paraId="61DA651F" w14:textId="7EF5D931" w:rsidR="001C2019" w:rsidRPr="001C2019" w:rsidRDefault="000C34D5">
      <w:pPr>
        <w:numPr>
          <w:ilvl w:val="0"/>
          <w:numId w:val="5"/>
        </w:numPr>
        <w:suppressAutoHyphens w:val="0"/>
        <w:jc w:val="both"/>
        <w:rPr>
          <w:rFonts w:eastAsiaTheme="minorHAnsi" w:cs="Times New Roman"/>
          <w:sz w:val="24"/>
          <w:szCs w:val="24"/>
          <w:lang w:val="hr-HR" w:eastAsia="en-US"/>
        </w:rPr>
      </w:pPr>
      <w:r>
        <w:rPr>
          <w:rFonts w:eastAsiaTheme="minorHAnsi" w:cs="Times New Roman"/>
          <w:sz w:val="24"/>
          <w:szCs w:val="24"/>
          <w:lang w:val="hr-HR" w:eastAsia="en-US"/>
        </w:rPr>
        <w:t>700.290,33</w:t>
      </w:r>
      <w:r w:rsidR="001C2019" w:rsidRPr="001C2019">
        <w:rPr>
          <w:rFonts w:eastAsiaTheme="minorHAnsi" w:cs="Times New Roman"/>
          <w:sz w:val="24"/>
          <w:szCs w:val="24"/>
          <w:lang w:val="hr-HR" w:eastAsia="en-US"/>
        </w:rPr>
        <w:t xml:space="preserve"> EUR – otplata </w:t>
      </w:r>
      <w:r>
        <w:rPr>
          <w:rFonts w:eastAsiaTheme="minorHAnsi" w:cs="Times New Roman"/>
          <w:sz w:val="24"/>
          <w:szCs w:val="24"/>
          <w:lang w:val="hr-HR" w:eastAsia="en-US"/>
        </w:rPr>
        <w:t>beskamatnog zajma (potres)</w:t>
      </w:r>
    </w:p>
    <w:p w14:paraId="7A5DACEB" w14:textId="77777777" w:rsidR="001C2019" w:rsidRDefault="001C2019" w:rsidP="001C2019">
      <w:pPr>
        <w:suppressAutoHyphens w:val="0"/>
        <w:spacing w:after="200" w:line="276" w:lineRule="auto"/>
        <w:rPr>
          <w:rFonts w:cs="Times New Roman"/>
          <w:b/>
          <w:sz w:val="24"/>
          <w:szCs w:val="24"/>
          <w:lang w:val="hr-HR"/>
        </w:rPr>
      </w:pPr>
    </w:p>
    <w:p w14:paraId="267D162C" w14:textId="77777777" w:rsidR="006C2AD0" w:rsidRDefault="006C2AD0" w:rsidP="001C2019">
      <w:pPr>
        <w:suppressAutoHyphens w:val="0"/>
        <w:spacing w:after="200" w:line="276" w:lineRule="auto"/>
        <w:rPr>
          <w:rFonts w:cs="Times New Roman"/>
          <w:b/>
          <w:sz w:val="24"/>
          <w:szCs w:val="24"/>
          <w:lang w:val="hr-HR"/>
        </w:rPr>
      </w:pPr>
    </w:p>
    <w:p w14:paraId="49F92290" w14:textId="77777777" w:rsidR="006C2AD0" w:rsidRDefault="006C2AD0" w:rsidP="001C2019">
      <w:pPr>
        <w:suppressAutoHyphens w:val="0"/>
        <w:spacing w:after="200" w:line="276" w:lineRule="auto"/>
        <w:rPr>
          <w:rFonts w:cs="Times New Roman"/>
          <w:b/>
          <w:sz w:val="24"/>
          <w:szCs w:val="24"/>
          <w:lang w:val="hr-HR"/>
        </w:rPr>
      </w:pPr>
    </w:p>
    <w:p w14:paraId="2CF47927" w14:textId="77777777" w:rsidR="004A40C1" w:rsidRDefault="004A40C1" w:rsidP="001C2019">
      <w:pPr>
        <w:suppressAutoHyphens w:val="0"/>
        <w:spacing w:after="200" w:line="276" w:lineRule="auto"/>
        <w:rPr>
          <w:rFonts w:cs="Times New Roman"/>
          <w:b/>
          <w:sz w:val="24"/>
          <w:szCs w:val="24"/>
          <w:lang w:val="hr-HR"/>
        </w:rPr>
      </w:pPr>
    </w:p>
    <w:p w14:paraId="2D21820B" w14:textId="405C0296" w:rsidR="006C2AD0" w:rsidRPr="004A40C1" w:rsidRDefault="006C2AD0" w:rsidP="004A40C1">
      <w:pPr>
        <w:suppressAutoHyphens w:val="0"/>
        <w:spacing w:after="200" w:line="276" w:lineRule="auto"/>
        <w:jc w:val="both"/>
        <w:rPr>
          <w:rFonts w:cs="Times New Roman"/>
          <w:bCs/>
          <w:sz w:val="24"/>
          <w:szCs w:val="24"/>
          <w:lang w:val="hr-HR"/>
        </w:rPr>
      </w:pPr>
      <w:r w:rsidRPr="004A40C1">
        <w:rPr>
          <w:rFonts w:cs="Times New Roman"/>
          <w:bCs/>
          <w:sz w:val="24"/>
          <w:szCs w:val="24"/>
          <w:lang w:val="hr-HR"/>
        </w:rPr>
        <w:lastRenderedPageBreak/>
        <w:t>U nastavku daje se prikaz realizacije rashoda i izdataka po programskoj klasifikaciji po upravnim odjelima Proračuna Krapinsko-zagorske županije.</w:t>
      </w:r>
    </w:p>
    <w:p w14:paraId="405FF1B0" w14:textId="77777777" w:rsidR="006C2AD0" w:rsidRDefault="006C2AD0" w:rsidP="006C2AD0">
      <w:pPr>
        <w:suppressAutoHyphens w:val="0"/>
        <w:spacing w:line="276" w:lineRule="auto"/>
        <w:jc w:val="center"/>
        <w:rPr>
          <w:rFonts w:cs="Times New Roman"/>
          <w:b/>
          <w:sz w:val="24"/>
          <w:szCs w:val="24"/>
          <w:lang w:val="hr-HR"/>
        </w:rPr>
      </w:pPr>
      <w:r>
        <w:rPr>
          <w:rFonts w:cs="Times New Roman"/>
          <w:b/>
          <w:sz w:val="24"/>
          <w:szCs w:val="24"/>
          <w:lang w:val="hr-HR"/>
        </w:rPr>
        <w:t xml:space="preserve">Tablica 7. Struktura rashoda i izdataka prema programskoj klasifikaciji </w:t>
      </w:r>
    </w:p>
    <w:p w14:paraId="2891CAE4" w14:textId="3C6D18DF" w:rsidR="006C2AD0" w:rsidRDefault="006C2AD0" w:rsidP="006C2AD0">
      <w:pPr>
        <w:suppressAutoHyphens w:val="0"/>
        <w:spacing w:line="276" w:lineRule="auto"/>
        <w:jc w:val="center"/>
        <w:rPr>
          <w:rFonts w:cs="Times New Roman"/>
          <w:b/>
          <w:sz w:val="24"/>
          <w:szCs w:val="24"/>
          <w:lang w:val="hr-HR"/>
        </w:rPr>
      </w:pPr>
      <w:r>
        <w:rPr>
          <w:rFonts w:cs="Times New Roman"/>
          <w:b/>
          <w:sz w:val="24"/>
          <w:szCs w:val="24"/>
          <w:lang w:val="hr-HR"/>
        </w:rPr>
        <w:t>(konsolidirani proračun)</w:t>
      </w:r>
    </w:p>
    <w:p w14:paraId="7ECADDFF" w14:textId="77777777" w:rsidR="006C2AD0" w:rsidRDefault="006C2AD0" w:rsidP="006C2AD0">
      <w:pPr>
        <w:suppressAutoHyphens w:val="0"/>
        <w:spacing w:line="276" w:lineRule="auto"/>
        <w:jc w:val="center"/>
        <w:rPr>
          <w:rFonts w:cs="Times New Roman"/>
          <w:b/>
          <w:sz w:val="24"/>
          <w:szCs w:val="24"/>
          <w:lang w:val="hr-HR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1666"/>
        <w:gridCol w:w="962"/>
        <w:gridCol w:w="3077"/>
        <w:gridCol w:w="1484"/>
        <w:gridCol w:w="1417"/>
        <w:gridCol w:w="887"/>
      </w:tblGrid>
      <w:tr w:rsidR="00B5294A" w:rsidRPr="00B5294A" w14:paraId="0BD7B12E" w14:textId="77777777" w:rsidTr="00B5294A">
        <w:trPr>
          <w:trHeight w:val="48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5CF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color w:val="000000"/>
                <w:sz w:val="18"/>
                <w:szCs w:val="18"/>
                <w:lang w:val="hr-HR" w:eastAsia="hr-HR"/>
              </w:rPr>
              <w:t>POZICIJA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00E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color w:val="000000"/>
                <w:sz w:val="18"/>
                <w:szCs w:val="18"/>
                <w:lang w:val="hr-HR" w:eastAsia="hr-HR"/>
              </w:rPr>
              <w:t>BROJ KONTA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51B4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color w:val="000000"/>
                <w:sz w:val="18"/>
                <w:szCs w:val="18"/>
                <w:lang w:val="hr-HR" w:eastAsia="hr-HR"/>
              </w:rPr>
              <w:t>VRSTA RASHODA / IZDATAKA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44F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color w:val="000000"/>
                <w:sz w:val="18"/>
                <w:szCs w:val="18"/>
                <w:lang w:val="hr-HR" w:eastAsia="hr-HR"/>
              </w:rPr>
              <w:t>PLANIRANO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5B9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color w:val="000000"/>
                <w:sz w:val="18"/>
                <w:szCs w:val="18"/>
                <w:lang w:val="hr-HR" w:eastAsia="hr-HR"/>
              </w:rPr>
              <w:t>REALIZIRANO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BCE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color w:val="000000"/>
                <w:sz w:val="18"/>
                <w:szCs w:val="18"/>
                <w:lang w:val="hr-HR" w:eastAsia="hr-HR"/>
              </w:rPr>
              <w:t>INDEKS</w:t>
            </w:r>
          </w:p>
        </w:tc>
      </w:tr>
      <w:tr w:rsidR="00B5294A" w:rsidRPr="00B5294A" w14:paraId="2DC9BCF7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696969" w:fill="696969"/>
            <w:vAlign w:val="center"/>
            <w:hideMark/>
          </w:tcPr>
          <w:p w14:paraId="6CB4DB3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696969" w:fill="696969"/>
            <w:vAlign w:val="center"/>
            <w:hideMark/>
          </w:tcPr>
          <w:p w14:paraId="714AE54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696969" w:fill="696969"/>
            <w:vAlign w:val="center"/>
            <w:hideMark/>
          </w:tcPr>
          <w:p w14:paraId="614BEC2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SVEUKUPNO RASHODI / IZDACI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696969" w:fill="696969"/>
            <w:vAlign w:val="center"/>
            <w:hideMark/>
          </w:tcPr>
          <w:p w14:paraId="38B06A8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277.147.680,01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696969" w:fill="696969"/>
            <w:vAlign w:val="center"/>
            <w:hideMark/>
          </w:tcPr>
          <w:p w14:paraId="62F3209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95.907.721,86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696969" w:fill="696969"/>
            <w:vAlign w:val="center"/>
            <w:hideMark/>
          </w:tcPr>
          <w:p w14:paraId="243559F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34,61</w:t>
            </w:r>
          </w:p>
        </w:tc>
      </w:tr>
      <w:tr w:rsidR="00B5294A" w:rsidRPr="00B5294A" w14:paraId="6B24FE5A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2F630DD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Razdjel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0617079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3C89EEF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UO ZA POSLOVE ŽUPANA I ŽUPANIJSKE SKUPŠTINE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12A1306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1.840.794,52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4CCBB65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1.494.412,46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3E1FF5C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81,18</w:t>
            </w:r>
          </w:p>
        </w:tc>
      </w:tr>
      <w:tr w:rsidR="00B5294A" w:rsidRPr="00B5294A" w14:paraId="5F8C9DA6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53EB6D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Glava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1F8F83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00101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75688C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UO ZA  POSLOVE ŽUPANA I ŽUPANIJSKE SKUPŠTINE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DCB1D3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292.775,00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642D247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138.017,77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32DCE6B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47,14</w:t>
            </w:r>
          </w:p>
        </w:tc>
      </w:tr>
      <w:tr w:rsidR="00B5294A" w:rsidRPr="00B5294A" w14:paraId="7B75EA82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088E3F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E9E3B7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E01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75C420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JAVNA UPRAVA I ADMINISTRACIJA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95E2C2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292.775,00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CCFFE8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138.017,77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264434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47,14</w:t>
            </w:r>
          </w:p>
        </w:tc>
      </w:tr>
      <w:tr w:rsidR="00B5294A" w:rsidRPr="00B5294A" w14:paraId="4F87376C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5B276C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A82E24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1010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A302DC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ODNOSI  S JAVNOŠĆU, PROMOCIJA  I  REGIONALNA  SURADNJA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559705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292.775,00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33821F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138.017,77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B7B981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47,14</w:t>
            </w:r>
          </w:p>
        </w:tc>
      </w:tr>
      <w:tr w:rsidR="00B5294A" w:rsidRPr="00B5294A" w14:paraId="5353D398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1660E9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3498C7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A101001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79EAF7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Regionalna suradnja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DBF045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25.400,00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170ED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12.747,24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3A2459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50,19</w:t>
            </w:r>
          </w:p>
        </w:tc>
      </w:tr>
      <w:tr w:rsidR="00B5294A" w:rsidRPr="00B5294A" w14:paraId="6D5853F3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1E95B1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058584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A101002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83F43E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Informiranje javnosti i protokol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E1BEF6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174.875,00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0BBEA0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87.065,76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40EF84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49,79</w:t>
            </w:r>
          </w:p>
        </w:tc>
      </w:tr>
      <w:tr w:rsidR="00B5294A" w:rsidRPr="00B5294A" w14:paraId="7344676D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099710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992458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A101003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B813A9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Implementacija brend strategije Bajka na dlanu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7B236D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92.500,00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AEF54A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38.204,77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A8ECC6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41,30</w:t>
            </w:r>
          </w:p>
        </w:tc>
      </w:tr>
      <w:tr w:rsidR="00B5294A" w:rsidRPr="00B5294A" w14:paraId="543F1D63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240C2E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Glava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981C69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00102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2ACBBA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ŽUPANIJSKA SKUPŠTINA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67A7572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1.548.019,52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9C80FA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1.356.394,69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B0E076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87,62</w:t>
            </w:r>
          </w:p>
        </w:tc>
      </w:tr>
      <w:tr w:rsidR="00B5294A" w:rsidRPr="00B5294A" w14:paraId="055B39C6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4573B6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18FA3F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E01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E92B6C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JAVNA UPRAVA I ADMINISTRACIJA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D7B3EB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1.548.019,52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C2202C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1.356.394,69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FD1F97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87,62</w:t>
            </w:r>
          </w:p>
        </w:tc>
      </w:tr>
      <w:tr w:rsidR="00B5294A" w:rsidRPr="00B5294A" w14:paraId="48277657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7C40C9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724B8E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1011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6D655E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ŽUPANIJSKA SKUPŠTINA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7AA4C8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1.548.019,52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B47513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1.356.394,69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A040B0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87,62</w:t>
            </w:r>
          </w:p>
        </w:tc>
      </w:tr>
      <w:tr w:rsidR="00B5294A" w:rsidRPr="00B5294A" w14:paraId="5D86964C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F3B1F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FDFED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A101101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A26FA0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Predstavnička i izvršna tijela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45238D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1.548.019,52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5BF57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1.356.394,69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FE489C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87,62</w:t>
            </w:r>
          </w:p>
        </w:tc>
      </w:tr>
      <w:tr w:rsidR="00B5294A" w:rsidRPr="00B5294A" w14:paraId="62866718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0F40B6E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Razdjel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40B4A45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6D1165D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UO ZA GOSPODARSTVO, POLJOPRIVREDU, TURIZAM, PROMET I KOMUNALNU INFRASTRUKTURU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4F7CA07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5.002.242,82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7B254B2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1.758.346,32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60C0E10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35,15</w:t>
            </w:r>
          </w:p>
        </w:tc>
      </w:tr>
      <w:tr w:rsidR="00B5294A" w:rsidRPr="00B5294A" w14:paraId="6B422D97" w14:textId="77777777" w:rsidTr="00B5294A">
        <w:trPr>
          <w:trHeight w:val="48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92DE67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Glava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0EF993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00201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2D64E2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UO ZA GOSPODARSTVO, POLJOPRIVREDU, TURIZAM, PROMET I KOMUNALNU INFRASTRUKTURU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42808F8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5.002.242,82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90ED65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1.758.346,32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942304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35,15</w:t>
            </w:r>
          </w:p>
        </w:tc>
      </w:tr>
      <w:tr w:rsidR="00B5294A" w:rsidRPr="00B5294A" w14:paraId="5B38AAB0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4DBDCF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1B9955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C01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7A457F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PROMET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6CEB11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1.187.525,00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26D62F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170.166,11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97AE88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14,33</w:t>
            </w:r>
          </w:p>
        </w:tc>
      </w:tr>
      <w:tr w:rsidR="00B5294A" w:rsidRPr="00B5294A" w14:paraId="4BF1AE3E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7F8FBA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5DA133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A20535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POBOLJŠANJE PROMETNE INFRASTRUKTURE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529FE1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534.525,00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7053E6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62.166,11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F38AA7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11,63</w:t>
            </w:r>
          </w:p>
        </w:tc>
      </w:tr>
      <w:tr w:rsidR="00B5294A" w:rsidRPr="00B5294A" w14:paraId="58C05161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1B64DC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9D2893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A100701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CE5AB4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Pomoć za rekonstrukciju, modernizaciju i izgradnju cesta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1E8055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222.000,00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2229A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2A400D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5438C1C6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4FECEF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E5642E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A100702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E507C3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Sufinanciranje javnog prijevoza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0BA38F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228.150,00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3279C9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38.169,09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1AE3BC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16,73</w:t>
            </w:r>
          </w:p>
        </w:tc>
      </w:tr>
      <w:tr w:rsidR="00B5294A" w:rsidRPr="00B5294A" w14:paraId="1C5E9412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06E996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FFE16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A100703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C77163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Krapinsko-zagorski aerodrom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F9C281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25.000,00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4BB4B7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15.000,02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04B85F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60,00</w:t>
            </w:r>
          </w:p>
        </w:tc>
      </w:tr>
      <w:tr w:rsidR="00B5294A" w:rsidRPr="00B5294A" w14:paraId="1AF0019A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363337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FB9DCD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A100704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8599C3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Sufinanciranje integriranog prometa zagrebačkog područja - IPZP d.o.o.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0CBA73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30.250,00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DB387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8.997,00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811B8E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29,74</w:t>
            </w:r>
          </w:p>
        </w:tc>
      </w:tr>
      <w:tr w:rsidR="00B5294A" w:rsidRPr="00B5294A" w14:paraId="478EB762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7A343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F32999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K100701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33C289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Kapitalna ulaganja - Krapinsko-zagorski </w:t>
            </w: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aerodorom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EE6C7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6C501B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EE0224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66B848AA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91E050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B433B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K100702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F2FC5B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Kapitalna ulaganja IPZP d.o.o.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6C11B6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28.125,00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94620E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26924D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2C40D5FA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6C890C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767E9A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87B9C1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POBOLJŠANJE KOMUNALNE  INFRASTRUKTURE I VODOOPSKRBE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91ED6F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653.000,00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F29DB0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108.000,00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3C4B42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16,54</w:t>
            </w:r>
          </w:p>
        </w:tc>
      </w:tr>
      <w:tr w:rsidR="00B5294A" w:rsidRPr="00B5294A" w14:paraId="51E84743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E5D911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6930A5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A100801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1FFE12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Pomoć za sanaciju klizišta i sanaciju šteta od elementarnih nepogoda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06C73D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313.000,00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BA522E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8.000,00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38C4F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2,56</w:t>
            </w:r>
          </w:p>
        </w:tc>
      </w:tr>
      <w:tr w:rsidR="00B5294A" w:rsidRPr="00B5294A" w14:paraId="0026E002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702BCE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1551B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A100802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FECBFF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Pomoći za uređenje prometne i komunalne infrastrukture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88DEC9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240.000,00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7BAC9C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3DBBE7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41,67</w:t>
            </w:r>
          </w:p>
        </w:tc>
      </w:tr>
      <w:tr w:rsidR="00B5294A" w:rsidRPr="00B5294A" w14:paraId="34B529AB" w14:textId="77777777" w:rsidTr="00B5294A">
        <w:trPr>
          <w:trHeight w:val="48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E6C5B1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lastRenderedPageBreak/>
              <w:t>Kapitalni projekt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F0055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K100801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C0A678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Vodoopskrba i odvodnja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632560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19FB1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C1967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39CDEA19" w14:textId="77777777" w:rsidTr="00B5294A">
        <w:trPr>
          <w:trHeight w:val="30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50C5CF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656388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H01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4C38EF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GOSPODARSTVO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D50D0E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2.623.497,82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06C189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888.468,57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DF7784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33,87</w:t>
            </w:r>
          </w:p>
        </w:tc>
      </w:tr>
      <w:tr w:rsidR="00B5294A" w:rsidRPr="00B5294A" w14:paraId="18F17D60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B9AA4A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6ABD09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1015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86E31F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POTICANJE RAZVOJA MALOG I SREDNJEG GOSPODARSTVA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67F5C9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1.684.504,00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F0F1B5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562.049,76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198AB5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33,37</w:t>
            </w:r>
          </w:p>
        </w:tc>
      </w:tr>
      <w:tr w:rsidR="00B5294A" w:rsidRPr="00B5294A" w14:paraId="52CBE753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6386C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C36049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A101501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F59EFB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Provođenje aktivnosti iz plana i programa rada Poduzetničkog centra KZŽ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4E0C6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334.550,00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53FC6B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163.583,35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AB6D30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48,90</w:t>
            </w:r>
          </w:p>
        </w:tc>
      </w:tr>
      <w:tr w:rsidR="00B5294A" w:rsidRPr="00B5294A" w14:paraId="54266526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376452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48AA0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A101502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AF06D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Sajmovi i ostale promidžbene manifestacije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EA6201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65.000,00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62A4F8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8.000,00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3AA05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12,31</w:t>
            </w:r>
          </w:p>
        </w:tc>
      </w:tr>
      <w:tr w:rsidR="00B5294A" w:rsidRPr="00B5294A" w14:paraId="4EF7777C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003557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AF1CCC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A101503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4AE53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Unapređenje konkurentnosti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4905F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713.430,00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175AB8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177.962,81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A42C7C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24,94</w:t>
            </w:r>
          </w:p>
        </w:tc>
      </w:tr>
      <w:tr w:rsidR="00B5294A" w:rsidRPr="00B5294A" w14:paraId="515CEA57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6AFA77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B93F4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A101504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BD4A9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Energetska učinkovitost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4E3DE8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175.000,00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4DD6A3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88.000,00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D40933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50,29</w:t>
            </w:r>
          </w:p>
        </w:tc>
      </w:tr>
      <w:tr w:rsidR="00B5294A" w:rsidRPr="00B5294A" w14:paraId="5D87B349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496F66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E76BAD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T101501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BEB58A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Upravljanje Poslovno-tehnološkim inkubatorom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EB594A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246.350,00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714A02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123.150,00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D51286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49,99</w:t>
            </w:r>
          </w:p>
        </w:tc>
      </w:tr>
      <w:tr w:rsidR="00B5294A" w:rsidRPr="00B5294A" w14:paraId="553E44BB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F5D67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730FF4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T101503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DBEFAA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Mreža mentora Krapinsko-zagorske županije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2A3802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15.000,00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57973E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1.353,60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F601CD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9,02</w:t>
            </w:r>
          </w:p>
        </w:tc>
      </w:tr>
      <w:tr w:rsidR="00B5294A" w:rsidRPr="00B5294A" w14:paraId="5CACEA0A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0DFACC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FF4F96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T101504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410E8D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Uređenje staze kroz krošnje </w:t>
            </w: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Zelenjak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7C0723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135.174,00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E99A9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DC762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4BCDCD5C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09B6CD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5ABE4A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1016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E6EAAA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ZARA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695FBB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938.993,82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2E7AD0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326.418,81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CE5828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34,76</w:t>
            </w:r>
          </w:p>
        </w:tc>
      </w:tr>
      <w:tr w:rsidR="00B5294A" w:rsidRPr="00B5294A" w14:paraId="7F7B9A24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14C2B7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22C8DC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A101601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2472C4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ZARA - JU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F7ABA1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556.196,88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2411E4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201.403,44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734610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36,21</w:t>
            </w:r>
          </w:p>
        </w:tc>
      </w:tr>
      <w:tr w:rsidR="00B5294A" w:rsidRPr="00B5294A" w14:paraId="36693879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3D54B4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8B64B9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A101602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47EEDC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ZARA - Ostali rashodi - Regionalni razvoj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74797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382.796,94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643DA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125.015,37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79DA90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32,66</w:t>
            </w:r>
          </w:p>
        </w:tc>
      </w:tr>
      <w:tr w:rsidR="00B5294A" w:rsidRPr="00B5294A" w14:paraId="39424394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DA83AC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9E375F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L01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631CC9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TURIZAM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F819AD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400.500,00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A1ECF0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281.000,00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AF80E1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70,16</w:t>
            </w:r>
          </w:p>
        </w:tc>
      </w:tr>
      <w:tr w:rsidR="00B5294A" w:rsidRPr="00B5294A" w14:paraId="4CCA8234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E2764D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853C74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1021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10F988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RAZVOJ TURIZMA KZŽ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E5A2D7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400.500,00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48EBBD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281.000,00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2CA0FB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70,16</w:t>
            </w:r>
          </w:p>
        </w:tc>
      </w:tr>
      <w:tr w:rsidR="00B5294A" w:rsidRPr="00B5294A" w14:paraId="48D6A5F9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FF1D5B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BA18D2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A102101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FAFD9D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Turistička promidžba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84414E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395.000,00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6E36E1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281.000,00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E031F5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71,14</w:t>
            </w:r>
          </w:p>
        </w:tc>
      </w:tr>
      <w:tr w:rsidR="00B5294A" w:rsidRPr="00B5294A" w14:paraId="7537053F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DAA18F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18CE84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5B8450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Razvoj biciklističkih odmorišta KZŽ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93C4DA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97C813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875407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3124CEEF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AD130E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64EFBC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F1E72B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POLJOPRIVREDA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E23936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790.720,00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5DA7D6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418.711,64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A08DD7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52,95</w:t>
            </w:r>
          </w:p>
        </w:tc>
      </w:tr>
      <w:tr w:rsidR="00B5294A" w:rsidRPr="00B5294A" w14:paraId="3CE83E19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C23833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96D870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1026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9E224A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RAZVOJ POLJOPRIVREDE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3A435D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790.720,00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DB15A0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418.711,64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7D7CD3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52,95</w:t>
            </w:r>
          </w:p>
        </w:tc>
      </w:tr>
      <w:tr w:rsidR="00B5294A" w:rsidRPr="00B5294A" w14:paraId="751B2186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4A328B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25EA47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A102601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3D83FD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Ruralni razvitak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A1640C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459.000,00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2BFB6B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251.396,43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FD1223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54,77</w:t>
            </w:r>
          </w:p>
        </w:tc>
      </w:tr>
      <w:tr w:rsidR="00B5294A" w:rsidRPr="00B5294A" w14:paraId="0AD135A0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E207B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64DEE6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A102602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6C1101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projekti u poljoprivredi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791F37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99.000,00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5367BF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43.403,23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63E9B1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43,84</w:t>
            </w:r>
          </w:p>
        </w:tc>
      </w:tr>
      <w:tr w:rsidR="00B5294A" w:rsidRPr="00B5294A" w14:paraId="052760E6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702F44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762D1C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A102603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517057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Lovstvo, šumarstvo i konjogojstvo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F3A040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43.950,00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B9007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4.752,55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753CE8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10,81</w:t>
            </w:r>
          </w:p>
        </w:tc>
      </w:tr>
      <w:tr w:rsidR="00B5294A" w:rsidRPr="00B5294A" w14:paraId="390E11D5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2BD061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89F4C1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A102604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237D15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Tekuće donacije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268056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24.500,00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A301E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21.767,50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78BCB9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88,85</w:t>
            </w:r>
          </w:p>
        </w:tc>
      </w:tr>
      <w:tr w:rsidR="00B5294A" w:rsidRPr="00B5294A" w14:paraId="5442A37D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BCEF82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1235C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A102605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A6C04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Otplata kredita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72B56A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4.130,00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A8565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408,86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904B28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9,90</w:t>
            </w:r>
          </w:p>
        </w:tc>
      </w:tr>
      <w:tr w:rsidR="00B5294A" w:rsidRPr="00B5294A" w14:paraId="440E7855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86CB3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D2E46B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A102606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35C60A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Regresiranje kamata - kreditiranje proizvodnje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9F4D60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0C307C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50E639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4ADBBDAF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A2B39C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755876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A102607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7374B4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Regresiranje kamate - agroturizam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F5102F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EAD14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86CA3F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16B72991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B08B2D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7C110B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A102608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ABCC3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Manifestacije i sajmovi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C75F7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160.000,00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4A5EBC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96.983,07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53678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60,61</w:t>
            </w:r>
          </w:p>
        </w:tc>
      </w:tr>
      <w:tr w:rsidR="00B5294A" w:rsidRPr="00B5294A" w14:paraId="33EA4188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0BC267C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Razdjel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3C134D4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4B88616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UO ZA JAVNU NABAVU I EU FONDOVE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4A0E7B1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7.729.500,00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28963D0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1.721.159,79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26AF736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22,27</w:t>
            </w:r>
          </w:p>
        </w:tc>
      </w:tr>
      <w:tr w:rsidR="00B5294A" w:rsidRPr="00B5294A" w14:paraId="634C457A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3CE0CA7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Glava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6C3D25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00301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169BD7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UO ZA JAVNU NABAVU I EU FONDOVE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096078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7.729.500,00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6AB673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1.721.159,79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48A4548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22,27</w:t>
            </w:r>
          </w:p>
        </w:tc>
      </w:tr>
      <w:tr w:rsidR="00B5294A" w:rsidRPr="00B5294A" w14:paraId="33A9534C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0124DE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943AF6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E01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4ACA80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JAVNA UPRAVA I ADMINISTRACIJA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EB7296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3BD115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9.855,58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75003A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19,71</w:t>
            </w:r>
          </w:p>
        </w:tc>
      </w:tr>
      <w:tr w:rsidR="00B5294A" w:rsidRPr="00B5294A" w14:paraId="76F04C75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1ED497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728900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1009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A29698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JAVNA UPRAVA I ADMINISTRACIJA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1C257D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7B0D50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9.855,58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5E96C6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19,71</w:t>
            </w:r>
          </w:p>
        </w:tc>
      </w:tr>
      <w:tr w:rsidR="00B5294A" w:rsidRPr="00B5294A" w14:paraId="514D9DAE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BB228A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CCF5E9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A100903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A6BEC4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Javna uprava i administracija - javna nabava i EU fondovi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953D5D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03EF9C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9.855,58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B0170B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19,71</w:t>
            </w:r>
          </w:p>
        </w:tc>
      </w:tr>
      <w:tr w:rsidR="00B5294A" w:rsidRPr="00B5294A" w14:paraId="06EFC4A7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9A700D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6D7B3C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F01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C18052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EU FONDOVI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08A5D5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7.679.500,00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72AD67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1.711.304,21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171D47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22,28</w:t>
            </w:r>
          </w:p>
        </w:tc>
      </w:tr>
      <w:tr w:rsidR="00B5294A" w:rsidRPr="00B5294A" w14:paraId="7C04DE26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757E6B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23B4B6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1012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7C921E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EU FONDOVI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A27B46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7.593.500,00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040A08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1.696.004,21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A5AE4B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22,33</w:t>
            </w:r>
          </w:p>
        </w:tc>
      </w:tr>
      <w:tr w:rsidR="00B5294A" w:rsidRPr="00B5294A" w14:paraId="28FBE7AE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CB554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0949B2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A101201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0101C4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EU projekti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518A63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ADFD5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450,00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6DC357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12,86</w:t>
            </w:r>
          </w:p>
        </w:tc>
      </w:tr>
      <w:tr w:rsidR="00B5294A" w:rsidRPr="00B5294A" w14:paraId="09D4C580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F3C2B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C81014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K101201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C19E53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Znanstveno edukativni zabavni centar ZEZ Zagorje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87C521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845.000,00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465282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81.896,93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7C208B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9,69</w:t>
            </w:r>
          </w:p>
        </w:tc>
      </w:tr>
      <w:tr w:rsidR="00B5294A" w:rsidRPr="00B5294A" w14:paraId="0D5A98EB" w14:textId="77777777" w:rsidTr="00B5294A">
        <w:trPr>
          <w:trHeight w:val="48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2A9666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lastRenderedPageBreak/>
              <w:t>Kapitalni projekt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7C9C83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K101202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312E78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Obnova od potresa - Dvorac Stubički </w:t>
            </w: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Golubovec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749287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6.600.000,00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A34CA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1.564.619,95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FC1801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23,71</w:t>
            </w:r>
          </w:p>
        </w:tc>
      </w:tr>
      <w:tr w:rsidR="00B5294A" w:rsidRPr="00B5294A" w14:paraId="6F5E35DC" w14:textId="77777777" w:rsidTr="00B5294A">
        <w:trPr>
          <w:trHeight w:val="48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7A91E3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F8788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K101205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034790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Astroturistički</w:t>
            </w:r>
            <w:proofErr w:type="spellEnd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 centar "</w:t>
            </w: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Hrašćina</w:t>
            </w:r>
            <w:proofErr w:type="spellEnd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"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14054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65.000,00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31AE7F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425FB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7E68962A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C451EF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2C21F9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T101201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C426AE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Promocija EU projekata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0BD63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26D68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49.037,33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00AFE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61,30</w:t>
            </w:r>
          </w:p>
        </w:tc>
      </w:tr>
      <w:tr w:rsidR="00B5294A" w:rsidRPr="00B5294A" w14:paraId="6B6566C8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D55CF6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MEĐUNARODNA SURADNJA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0019B7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1013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8B645A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MEĐUNARODNA SURADNJA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399EEB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86.000,00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367589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15.300,00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EBE739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17,79</w:t>
            </w:r>
          </w:p>
        </w:tc>
      </w:tr>
      <w:tr w:rsidR="00B5294A" w:rsidRPr="00B5294A" w14:paraId="25639F29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24FB7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D00B5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A101301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54F5C1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Međunarodna suradnja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08D08F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86.000,00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9DDC6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15.300,00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C1DFC4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17,79</w:t>
            </w:r>
          </w:p>
        </w:tc>
      </w:tr>
      <w:tr w:rsidR="00B5294A" w:rsidRPr="00B5294A" w14:paraId="6A864902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79DDB57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Razdjel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4986B02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4F219F9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UO ZA PROSTORNO UREĐENJE, GRADNJU I ZAŠTITU OKOLIŠA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57F342C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11.291.894,08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2A54F87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654.995,86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18CC23C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5,80</w:t>
            </w:r>
          </w:p>
        </w:tc>
      </w:tr>
      <w:tr w:rsidR="00B5294A" w:rsidRPr="00B5294A" w14:paraId="419B972B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3CABD44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Glava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6FA852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00401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3D1E95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UO ZA PROSTORNO UREĐENJE, GRADNJU I ZAŠTITU OKOLIŠA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6F1FB8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10.407.062,85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C4B888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298.669,53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8C1105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2,87</w:t>
            </w:r>
          </w:p>
        </w:tc>
      </w:tr>
      <w:tr w:rsidR="00B5294A" w:rsidRPr="00B5294A" w14:paraId="23DA4D81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90318C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6D9463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N01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8672B8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ZAŠTITA PRIRODE I OKOLIŠA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8FDD6C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1.618.550,00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D263A8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108.841,97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E9F645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6,72</w:t>
            </w:r>
          </w:p>
        </w:tc>
      </w:tr>
      <w:tr w:rsidR="00B5294A" w:rsidRPr="00B5294A" w14:paraId="67B9C7FF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8DC222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0173FA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1024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6F1014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ZAŠTITA OKOLIŠA I GOSPODARENJE OTPADOM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6CB731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1.618.550,00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60BF10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108.841,97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3296FF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6,72</w:t>
            </w:r>
          </w:p>
        </w:tc>
      </w:tr>
      <w:tr w:rsidR="00B5294A" w:rsidRPr="00B5294A" w14:paraId="00C9E318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3A7D5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7E7858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A102401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7FAE08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Zaštita okoliša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E84ED1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68.320,00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C87846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15.625,00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5EF84E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22,87</w:t>
            </w:r>
          </w:p>
        </w:tc>
      </w:tr>
      <w:tr w:rsidR="00B5294A" w:rsidRPr="00B5294A" w14:paraId="76514630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C19AF1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05FC97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A102402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5C1E9E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Gospodarenje otpadom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B36F17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1.448.410,00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5D99AE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83.758,02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18466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5,78</w:t>
            </w:r>
          </w:p>
        </w:tc>
      </w:tr>
      <w:tr w:rsidR="00B5294A" w:rsidRPr="00B5294A" w14:paraId="4E3189D6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6FE93C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F78FCC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K102401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F857DC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Sanacija odlagališta otpada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F3763A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66.370,00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AF7037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14DBBF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1DD3074C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81C81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6E6AD3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T102401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A8F148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Arcadia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E13762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35.450,00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A9953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9.458,95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3CDEB9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26,68</w:t>
            </w:r>
          </w:p>
        </w:tc>
      </w:tr>
      <w:tr w:rsidR="00B5294A" w:rsidRPr="00B5294A" w14:paraId="338E36EF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3CBBE7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A5766A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609D2B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PROSTORNO UREĐENJE I GRADNJA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1E552E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8.788.512,85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5A9558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189.827,56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C4238E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2,16</w:t>
            </w:r>
          </w:p>
        </w:tc>
      </w:tr>
      <w:tr w:rsidR="00B5294A" w:rsidRPr="00B5294A" w14:paraId="1A93F831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1DE451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70C79A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1027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4A341C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PROSTORNO UREĐENJE I GRADNJA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61E2D0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8.788.512,85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EB1596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189.827,56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4C0915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2,16</w:t>
            </w:r>
          </w:p>
        </w:tc>
      </w:tr>
      <w:tr w:rsidR="00B5294A" w:rsidRPr="00B5294A" w14:paraId="0A5E410A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A53DF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3467E6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T102701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26CEBB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Prostorne podloge i katastar nekretnina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79AEC2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14.750,00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632C0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9CCC8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27D3B718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CF1DDB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5D4BC4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T102702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48E6F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Sanacija šteta od potresa na području KZŽ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0D1310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8.773.762,85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45396B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189.827,56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5C9BFE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2,16</w:t>
            </w:r>
          </w:p>
        </w:tc>
      </w:tr>
      <w:tr w:rsidR="00B5294A" w:rsidRPr="00B5294A" w14:paraId="59EF5C98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023D3B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Glava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97DA53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00402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6438F0D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ZAVOD ZA PROSTORNO UREĐENJE KZŽ - PRORAČUNSKI KORISNIK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77D8FD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480.127,23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703725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185.607,41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4A4526D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38,66</w:t>
            </w:r>
          </w:p>
        </w:tc>
      </w:tr>
      <w:tr w:rsidR="00B5294A" w:rsidRPr="00B5294A" w14:paraId="7D621C0E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EC01B4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AE3F18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5B677E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PROSTORNO UREĐENJE KZŽ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421BB6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480.127,23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D1FD90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185.607,41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9D6B81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38,66</w:t>
            </w:r>
          </w:p>
        </w:tc>
      </w:tr>
      <w:tr w:rsidR="00B5294A" w:rsidRPr="00B5294A" w14:paraId="2C4DA13E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7DB380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001309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1028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8B21F1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PROSTORNO UREĐENJE KZŽ - ZAVOD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45EC61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480.127,23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2E21E0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185.607,41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7A6927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38,66</w:t>
            </w:r>
          </w:p>
        </w:tc>
      </w:tr>
      <w:tr w:rsidR="00B5294A" w:rsidRPr="00B5294A" w14:paraId="2C8CBCBE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2FA25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3739CC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A102801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552487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Prostorno uređenje KZŽ - Zavod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B31D3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393.130,00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74262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170.129,66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CE8DDA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43,28</w:t>
            </w:r>
          </w:p>
        </w:tc>
      </w:tr>
      <w:tr w:rsidR="00B5294A" w:rsidRPr="00B5294A" w14:paraId="7C91051D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E3193C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EFEE91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A102802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41399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Ostali rashodi - Zavod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54A9FE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84.297,23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AE5698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15.477,75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E0DA57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18,36</w:t>
            </w:r>
          </w:p>
        </w:tc>
      </w:tr>
      <w:tr w:rsidR="00B5294A" w:rsidRPr="00B5294A" w14:paraId="23737DB8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7E2FA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DF71F4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K102801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77486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Nabava opreme - Zavod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720481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7A838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315B95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0DB8FEDC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0AACA4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Glava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31F7FE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00403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A7AA6E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JAVNA USTANOVA ZA UPRAVLJANJE ZAŠTIĆENIM DIJELOVIMA PRIRODE KZŽ - PRORAČUNSKI KORISNIK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4E61813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404.704,00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DA64B7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170.718,92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3FAA923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42,18</w:t>
            </w:r>
          </w:p>
        </w:tc>
      </w:tr>
      <w:tr w:rsidR="00B5294A" w:rsidRPr="00B5294A" w14:paraId="4E1D6CC9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D16097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1755E3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N02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EAC2AD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ZAŠTITA PRIRODNIH VRIJED.NA POD. KZŽ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DF533A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404.704,00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2CC7A6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170.718,92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9813D6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42,18</w:t>
            </w:r>
          </w:p>
        </w:tc>
      </w:tr>
      <w:tr w:rsidR="00B5294A" w:rsidRPr="00B5294A" w14:paraId="2776AB61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9E3491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F77CAA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1025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1A7281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 ZAŠTITE PRIRODNIH VRIJED.NA PODR. KZŽ - J.U.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4B9BAB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404.704,00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43CFFC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170.718,92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32E6F7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42,18</w:t>
            </w:r>
          </w:p>
        </w:tc>
      </w:tr>
      <w:tr w:rsidR="00B5294A" w:rsidRPr="00B5294A" w14:paraId="50209B21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E9973D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FFDFA8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A102501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D8053A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Upravljanje zaštićenim prirodnim </w:t>
            </w: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vrijedostima</w:t>
            </w:r>
            <w:proofErr w:type="spellEnd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 na području KZŽ - JU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F15DBE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363.496,00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A1E32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156.670,15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194AF9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43,10</w:t>
            </w:r>
          </w:p>
        </w:tc>
      </w:tr>
      <w:tr w:rsidR="00B5294A" w:rsidRPr="00B5294A" w14:paraId="2A40770C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EC1D1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62444C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A102502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708A0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Ostali rashodi - Javna ustanova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06CC7D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35.408,00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83ABED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12.498,69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B8527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35,30</w:t>
            </w:r>
          </w:p>
        </w:tc>
      </w:tr>
      <w:tr w:rsidR="00B5294A" w:rsidRPr="00B5294A" w14:paraId="36EF6CF6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623DCB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D6BAF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K102501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0CF337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Nabava opreme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7F6AD6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5.800,00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68343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1.550,08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1A736D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26,73</w:t>
            </w:r>
          </w:p>
        </w:tc>
      </w:tr>
      <w:tr w:rsidR="00B5294A" w:rsidRPr="00B5294A" w14:paraId="44CBDCE2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1A33DC4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Razdjel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5296718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708D0FF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UO ZA ZDRAVSTVO, SOCIJALNU POLITIKU, BRANITELJE, CIVILNO DRUŠTVO I MLADE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6EA9859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98.610.753,58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7876C13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38.563.191,91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7EDECF8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39,11</w:t>
            </w:r>
          </w:p>
        </w:tc>
      </w:tr>
      <w:tr w:rsidR="00B5294A" w:rsidRPr="00B5294A" w14:paraId="7384FB0E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BE5B38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Glava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6250B5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00501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6303B5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UO ZA ZDRAVSTVO, SOCIJALNU POLITIKU, BRANITELJE, CIVILNO DRUŠTVO I MLADE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361E17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2.132.326,35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D141A3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772.878,04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73E13A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36,25</w:t>
            </w:r>
          </w:p>
        </w:tc>
      </w:tr>
      <w:tr w:rsidR="00B5294A" w:rsidRPr="00B5294A" w14:paraId="2B52E9FB" w14:textId="77777777" w:rsidTr="00B5294A">
        <w:trPr>
          <w:trHeight w:val="30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FA03EE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lastRenderedPageBreak/>
              <w:t>Glavni program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19AC0D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A01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8E5FC6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ZDRAVSTVO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A101F7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913.970,38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794906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176.305,74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9743CF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19,29</w:t>
            </w:r>
          </w:p>
        </w:tc>
      </w:tr>
      <w:tr w:rsidR="00B5294A" w:rsidRPr="00B5294A" w14:paraId="288EF002" w14:textId="77777777" w:rsidTr="00B5294A">
        <w:trPr>
          <w:trHeight w:val="30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6E7026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753D01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1001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56284F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ZDRAVSTVENA ZAŠTITA - IZNAD STANDARDA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F94526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709.470,38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828E16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95.040,51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35BEC8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13,40</w:t>
            </w:r>
          </w:p>
        </w:tc>
      </w:tr>
      <w:tr w:rsidR="00B5294A" w:rsidRPr="00B5294A" w14:paraId="21C13F6F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E9A504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106553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K100101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AFFD2E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Izgradnja, investicije, ulaganje i opremanje zdravstvenih ustanova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34AE36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120.000,00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02A71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D0A11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6D0FA591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AB48C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F13269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K100105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CBC998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Energetska obnova ambulante Novi </w:t>
            </w: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Golubovec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A5B3AF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34.530,75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8F11A6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34.530,75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8E95A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100,00</w:t>
            </w:r>
          </w:p>
        </w:tc>
      </w:tr>
      <w:tr w:rsidR="00B5294A" w:rsidRPr="00B5294A" w14:paraId="560705CA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C4FA89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7032E2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K100106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00F4A3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Energetska obnova ambulante u Pregradi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59EFFF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4.527,63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CE745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4.527,63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E52B56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100,00</w:t>
            </w:r>
          </w:p>
        </w:tc>
      </w:tr>
      <w:tr w:rsidR="00B5294A" w:rsidRPr="00B5294A" w14:paraId="4527F9AE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676058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8BDE7A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K100107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86CB79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Energetska obnova ambulante </w:t>
            </w: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Budinščina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CB6E4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223.812,00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053490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6256F3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4BC1C4D2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A24F3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2C6DED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K100108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2604F8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Poboljšanje pristupa primarnoj zdravstvenoj zaštiti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3D7AAF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3C66CB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E44AD8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4CF9AEFA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3A88FA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9B813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T100101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CB9C1E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Tekuće poslovanje zdravstvenih ustanova - iznad standarda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D506BF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226.600,00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14BEE9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55.982,13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90C6E8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24,71</w:t>
            </w:r>
          </w:p>
        </w:tc>
      </w:tr>
      <w:tr w:rsidR="00B5294A" w:rsidRPr="00B5294A" w14:paraId="5739F52C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1BA820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B1A9B1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6BC675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ZDRAVSTVENA ZAŠTITA - USLUGE PREVENCIJE I EDUKACIJE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4D5785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204.500,00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C7614C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81.265,23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908874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39,74</w:t>
            </w:r>
          </w:p>
        </w:tc>
      </w:tr>
      <w:tr w:rsidR="00B5294A" w:rsidRPr="00B5294A" w14:paraId="477AC82F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57F7F1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73C451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A100201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E34519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Zdravstvene usluge prevencije i edukacije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82BB2F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204.500,00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F7DEA7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81.265,23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C99130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39,74</w:t>
            </w:r>
          </w:p>
        </w:tc>
      </w:tr>
      <w:tr w:rsidR="00B5294A" w:rsidRPr="00B5294A" w14:paraId="2A194AAA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C5E7D2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FF519D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B01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8ED158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SOCIJALNA SKRB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A61019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615.405,97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686D44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264.416,58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D895F4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42,97</w:t>
            </w:r>
          </w:p>
        </w:tc>
      </w:tr>
      <w:tr w:rsidR="00B5294A" w:rsidRPr="00B5294A" w14:paraId="78AE98B8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75218C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38C520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934571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SOCIJALNA ZAŠTITA - IZNAD STANDARDA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7FE318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615.405,97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DBEBA8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264.416,58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90750A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42,97</w:t>
            </w:r>
          </w:p>
        </w:tc>
      </w:tr>
      <w:tr w:rsidR="00B5294A" w:rsidRPr="00B5294A" w14:paraId="094ABD59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25BA8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B72F99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A100501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DCB53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Pomoć obiteljima i samcima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221101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605.127,48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74228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259.600,43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75D171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42,90</w:t>
            </w:r>
          </w:p>
        </w:tc>
      </w:tr>
      <w:tr w:rsidR="00B5294A" w:rsidRPr="00B5294A" w14:paraId="76A22580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34EAE7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C87C85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T100501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01EC6B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Projekt: Socijalni plan KZŽ za 2024. - 2027.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7BB45E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10.278,49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674C74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4.816,15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0E5A1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46,86</w:t>
            </w:r>
          </w:p>
        </w:tc>
      </w:tr>
      <w:tr w:rsidR="00B5294A" w:rsidRPr="00B5294A" w14:paraId="18777DB6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5858BD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F52D07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M01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714F7E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KULTURA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A77C82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602.950,00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046CC4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332.155,72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7176B2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55,09</w:t>
            </w:r>
          </w:p>
        </w:tc>
      </w:tr>
      <w:tr w:rsidR="00B5294A" w:rsidRPr="00B5294A" w14:paraId="2FF57A17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B1E613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785753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1023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5EEBC2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BRANITELJI, MLADI I CIVILNO DRUŠTVO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2B644E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602.950,00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57ED04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332.155,72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D09E72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55,09</w:t>
            </w:r>
          </w:p>
        </w:tc>
      </w:tr>
      <w:tr w:rsidR="00B5294A" w:rsidRPr="00B5294A" w14:paraId="4015A68F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759A3B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4EB6C4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A102301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6A5480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Donacije braniteljima, udrugama i mladima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C9919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602.950,00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E2D4D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332.155,72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10B785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55,09</w:t>
            </w:r>
          </w:p>
        </w:tc>
      </w:tr>
      <w:tr w:rsidR="00B5294A" w:rsidRPr="00B5294A" w14:paraId="652700C9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9A391D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Glava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331DDEE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00502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BFD5E4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USTANOVE U ZDRAVSTVU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62165DC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96.250.993,04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F19480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37.712.787,70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7EE1EF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39,18</w:t>
            </w:r>
          </w:p>
        </w:tc>
      </w:tr>
      <w:tr w:rsidR="00B5294A" w:rsidRPr="00B5294A" w14:paraId="547F248F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456000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24CD52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89B131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ZDRAVSTVO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0390B5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96.246.993,04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775C1B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37.711.796,83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B95FFB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39,18</w:t>
            </w:r>
          </w:p>
        </w:tc>
      </w:tr>
      <w:tr w:rsidR="00B5294A" w:rsidRPr="00B5294A" w14:paraId="15A2CF11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CAA541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D68136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1000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CBC25B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ZDRAVSTVENA ZAŠTITA - ZAKONSKI STANDARD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90091A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1.795.608,00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5E0DD9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384.824,84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EA25BA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21,43</w:t>
            </w:r>
          </w:p>
        </w:tc>
      </w:tr>
      <w:tr w:rsidR="00B5294A" w:rsidRPr="00B5294A" w14:paraId="62404925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EE77E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7A794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K100001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98BD15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Izgradnja, investicije, ulaganje i opremanje zdravstvenih ustanova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EADF0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1.795.608,00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47BFE0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384.824,84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CCC8C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21,43</w:t>
            </w:r>
          </w:p>
        </w:tc>
      </w:tr>
      <w:tr w:rsidR="00B5294A" w:rsidRPr="00B5294A" w14:paraId="415364D1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743072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1754C0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BF2E74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ZDRAVSTVENA ZAŠTITA - IZNAD STANDARDA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0A0AD1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3.703.926,20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F1C708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184.770,34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11658A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4,99</w:t>
            </w:r>
          </w:p>
        </w:tc>
      </w:tr>
      <w:tr w:rsidR="00B5294A" w:rsidRPr="00B5294A" w14:paraId="3087193C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74F8C9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1D0DDC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K100101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4D84D1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Izgradnja, investicije, ulaganje i opremanje zdravstvenih ustanova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116D1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517.726,20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C936CD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42.416,15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EC256C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8,19</w:t>
            </w:r>
          </w:p>
        </w:tc>
      </w:tr>
      <w:tr w:rsidR="00B5294A" w:rsidRPr="00B5294A" w14:paraId="4DB462E3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9DFD4A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EE244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K100102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CF252D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Dogradnja Specijalne bolnice Krapinske Toplice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760F1E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13.000,00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D2CDEB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D6819D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18CD2FE6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C427C3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DA3934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K100104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7561A6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Obnova zdravstvenih ustanova od potresa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40CFA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2.500.000,00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6BA79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08345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0F4673C5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2B33DC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156EAF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T100101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80EB7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Tekuće poslovanje zdravstvenih ustanova - iznad standarda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2D6C12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673.200,00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3BCB0B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142.354,19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D505A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21,15</w:t>
            </w:r>
          </w:p>
        </w:tc>
      </w:tr>
      <w:tr w:rsidR="00B5294A" w:rsidRPr="00B5294A" w14:paraId="640F426E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CD4047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CBC100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5C01C1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ZDRAVSTVENA ZAŠTITA - USLUGE PREVENCIJE I EDUKACIJE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6014FC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42.500,00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B5E677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8.125,00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FB37EA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19,12</w:t>
            </w:r>
          </w:p>
        </w:tc>
      </w:tr>
      <w:tr w:rsidR="00B5294A" w:rsidRPr="00B5294A" w14:paraId="51F2A132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8746DC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5A4096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A100201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0A021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Zdravstvene usluge prevencije i edukacije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7FF43B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42.500,00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6D573A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8.125,00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5C2EC5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19,12</w:t>
            </w:r>
          </w:p>
        </w:tc>
      </w:tr>
      <w:tr w:rsidR="00B5294A" w:rsidRPr="00B5294A" w14:paraId="3BAED763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41EED4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181AF2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7288C3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ZDRAVSTVENA ZAŠTITA - REDOVNA DJELATNOST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998AE5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90.704.958,84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1642F1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37.134.076,65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B6E909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40,94</w:t>
            </w:r>
          </w:p>
        </w:tc>
      </w:tr>
      <w:tr w:rsidR="00B5294A" w:rsidRPr="00B5294A" w14:paraId="33F16267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D89D09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B13688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A100301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9EB83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Redovni poslovi zdravstvene zaštite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0D416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90.704.958,84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924A0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37.134.076,65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02EF17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40,94</w:t>
            </w:r>
          </w:p>
        </w:tc>
      </w:tr>
      <w:tr w:rsidR="00B5294A" w:rsidRPr="00B5294A" w14:paraId="03776345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E58E7E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3C564A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B01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6B25AE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SOCIJALNA SKRB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356A87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E898E7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990,87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E2B054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24,77</w:t>
            </w:r>
          </w:p>
        </w:tc>
      </w:tr>
      <w:tr w:rsidR="00B5294A" w:rsidRPr="00B5294A" w14:paraId="69121ED1" w14:textId="77777777" w:rsidTr="00B5294A">
        <w:trPr>
          <w:trHeight w:val="30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628112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lastRenderedPageBreak/>
              <w:t>Program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A25E84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1005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B4C6B4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SOCIJALNA ZAŠTITA - IZNAD STANDARDA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DBC057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12B7AE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990,87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C17D34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24,77</w:t>
            </w:r>
          </w:p>
        </w:tc>
      </w:tr>
      <w:tr w:rsidR="00B5294A" w:rsidRPr="00B5294A" w14:paraId="6B129DEA" w14:textId="77777777" w:rsidTr="00B5294A">
        <w:trPr>
          <w:trHeight w:val="30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7351CD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BA0CAB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A100501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28E6BB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Pomoć obiteljima i samcima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CC7D22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8D7024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990,87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B7E65C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24,77</w:t>
            </w:r>
          </w:p>
        </w:tc>
      </w:tr>
      <w:tr w:rsidR="00B5294A" w:rsidRPr="00B5294A" w14:paraId="0CC1E864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4440FD2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Glava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C3C0D8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00503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6E0619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USTANOVE U SOCIJALNOJ SKRBI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90BC9E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227.434,19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44C53E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77.526,17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F3B308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34,09</w:t>
            </w:r>
          </w:p>
        </w:tc>
      </w:tr>
      <w:tr w:rsidR="00B5294A" w:rsidRPr="00B5294A" w14:paraId="106945B8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5FCF80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4C40B1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B01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FEB714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SOCIJALNA SKRB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665F33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227.434,19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031061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77.526,17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3C24F4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34,09</w:t>
            </w:r>
          </w:p>
        </w:tc>
      </w:tr>
      <w:tr w:rsidR="00B5294A" w:rsidRPr="00B5294A" w14:paraId="64EE1654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1A46A4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B8DF5B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0194C9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SOCIJALNA ZAŠTITA - IZNAD STANDARDA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59C438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6D66F0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34.637,82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B6D234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49,48</w:t>
            </w:r>
          </w:p>
        </w:tc>
      </w:tr>
      <w:tr w:rsidR="00B5294A" w:rsidRPr="00B5294A" w14:paraId="39652D2B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CDB8AA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D63F9D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A100502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F74BBF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"Novi početak - sufinanciranje rada Doma"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C5CE80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33E059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34.637,82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D6A7DB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49,48</w:t>
            </w:r>
          </w:p>
        </w:tc>
      </w:tr>
      <w:tr w:rsidR="00B5294A" w:rsidRPr="00B5294A" w14:paraId="6E058DB3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982AF1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584422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DEB87F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SOCIJALNA ZAŠTITA - REDOVNA DJELATNOST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FCD1EB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157.434,19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B1F836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42.888,35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301FAF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27,24</w:t>
            </w:r>
          </w:p>
        </w:tc>
      </w:tr>
      <w:tr w:rsidR="00B5294A" w:rsidRPr="00B5294A" w14:paraId="55B4D707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61A002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E853A1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A100601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11DD8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Dom novi početak - RVI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06CF3E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157.434,19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D535D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42.888,35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80366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27,24</w:t>
            </w:r>
          </w:p>
        </w:tc>
      </w:tr>
      <w:tr w:rsidR="00B5294A" w:rsidRPr="00B5294A" w14:paraId="4B4777A4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15AA02C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Razdjel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363A7BD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7CACD8B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UO ZA OBRAZOVANJE, KULTURU, ŠPORT I TEHNIČKU KULTURU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0E03C65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143.134.802,73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41DDD9C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47.218.372,19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76F90BD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32,99</w:t>
            </w:r>
          </w:p>
        </w:tc>
      </w:tr>
      <w:tr w:rsidR="00B5294A" w:rsidRPr="00B5294A" w14:paraId="6F6DCA85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FC5AE4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Glava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DBB187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00601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DA60B5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UO ZA OBRAZOVANJE, KULTURU, ŠPORT I TEHNI.KULTURU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660E8D8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61.253.545,35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75779F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5.426.620,90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1EF968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8,86</w:t>
            </w:r>
          </w:p>
        </w:tc>
      </w:tr>
      <w:tr w:rsidR="00B5294A" w:rsidRPr="00B5294A" w14:paraId="3699BB91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1FF539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B36AAB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J01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B3EEBD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OBRAZOVANJE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7E98E8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59.837.095,35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60D0C6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4.589.422,52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DA1E34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7,67</w:t>
            </w:r>
          </w:p>
        </w:tc>
      </w:tr>
      <w:tr w:rsidR="00B5294A" w:rsidRPr="00B5294A" w14:paraId="45D8F3BD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2BD852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BAA6DC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1017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4425D1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OSNOVNO OBRAZOVANJE - ZAKONSKI STANDARD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0FAD1B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2.103.171,46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14C2B7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1.623.790,93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22BD00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77,21</w:t>
            </w:r>
          </w:p>
        </w:tc>
      </w:tr>
      <w:tr w:rsidR="00B5294A" w:rsidRPr="00B5294A" w14:paraId="4B587752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F0B726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52FA91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A101701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077880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Redovni poslovi ustanova osnovnog obrazovanja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4A9CA0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1.824.235,08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0B97BB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1.502.982,80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6CCD6C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82,39</w:t>
            </w:r>
          </w:p>
        </w:tc>
      </w:tr>
      <w:tr w:rsidR="00B5294A" w:rsidRPr="00B5294A" w14:paraId="6EB842A9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E6554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E61C85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K101701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84F01F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Izgradnja, dogradnja i adaptacija - OŠ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0AB36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278.936,38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7912E0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120.808,13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79F20C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43,31</w:t>
            </w:r>
          </w:p>
        </w:tc>
      </w:tr>
      <w:tr w:rsidR="00B5294A" w:rsidRPr="00B5294A" w14:paraId="015C5C71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DE2303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960EB0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1020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62529B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DOPUNSKI NASTAVNI I VANNASTAVNI PROGRAM ŠKOLA I OBRAZ. INSTIT.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ABEE20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13.531.267,28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7F0BF3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2.954.471,59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9E56B9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21,83</w:t>
            </w:r>
          </w:p>
        </w:tc>
      </w:tr>
      <w:tr w:rsidR="00B5294A" w:rsidRPr="00B5294A" w14:paraId="0B700E61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F53087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F784D3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A102001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5362A3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Dopunski nastavni i vannastavni program škola i obrazovnih institucija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9FD680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4.824.898,95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98CA04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2.132.569,89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2EE4F9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44,20</w:t>
            </w:r>
          </w:p>
        </w:tc>
      </w:tr>
      <w:tr w:rsidR="00B5294A" w:rsidRPr="00B5294A" w14:paraId="3ABEA44D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4E44D6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7A085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A102005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59E579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Ulaganja u visokoškolsko obrazovanje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693AE0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53.270,00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A87F86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13.270,00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D51EB5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24,91</w:t>
            </w:r>
          </w:p>
        </w:tc>
      </w:tr>
      <w:tr w:rsidR="00B5294A" w:rsidRPr="00B5294A" w14:paraId="4B04FC68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EB1F83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C8B179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A102006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F14C0A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 građanskog odgoja u školama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2F23A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1.350,00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D78845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156,01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37A6F1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11,56</w:t>
            </w:r>
          </w:p>
        </w:tc>
      </w:tr>
      <w:tr w:rsidR="00B5294A" w:rsidRPr="00B5294A" w14:paraId="37E460E4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953F1F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476051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A102007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AF23D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Programi za nadarenu djecu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FDF38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43.000,00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C752DF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33.000,00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671D42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76,74</w:t>
            </w:r>
          </w:p>
        </w:tc>
      </w:tr>
      <w:tr w:rsidR="00B5294A" w:rsidRPr="00B5294A" w14:paraId="414E60ED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F65CF5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FCF0AA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A102008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4D8734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Razvoj poduzetništva kod djece i mladih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ECC012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6.025,00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55072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1.973,36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FFFBEF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32,75</w:t>
            </w:r>
          </w:p>
        </w:tc>
      </w:tr>
      <w:tr w:rsidR="00B5294A" w:rsidRPr="00B5294A" w14:paraId="1889E8FE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6E9486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E8C5FC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A102010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A42472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Županija - prijatelj djece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BB08D7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13.000,00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F30EAF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2B22D8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2A2C37E7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DBC144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36347A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K102001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2C1AE2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Dopunska sredstva za izgradnju, dogradnju i adaptaciju škola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B432D7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2.034.675,00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B340E8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357.296,99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71DB81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17,56</w:t>
            </w:r>
          </w:p>
        </w:tc>
      </w:tr>
      <w:tr w:rsidR="00B5294A" w:rsidRPr="00B5294A" w14:paraId="26D81A3B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D6961D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EDAAB6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K102006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5ED65E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OŠ Sveti Križ Začretje - Uređenje školskog igrališta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F6B3B9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200.671,79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FD8EBA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200.622,50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FD699D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99,98</w:t>
            </w:r>
          </w:p>
        </w:tc>
      </w:tr>
      <w:tr w:rsidR="00B5294A" w:rsidRPr="00B5294A" w14:paraId="7B3BFFAB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B73167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9317C3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K102007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A77318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Energetska obnova OŠ i SŠ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9B4094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4.755.942,58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AD568C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144.156,09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2053C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3,03</w:t>
            </w:r>
          </w:p>
        </w:tc>
      </w:tr>
      <w:tr w:rsidR="00B5294A" w:rsidRPr="00B5294A" w14:paraId="6532048F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7CC2A4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7F841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K102010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CFB686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PŠ </w:t>
            </w: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Poznanovec</w:t>
            </w:r>
            <w:proofErr w:type="spellEnd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 - izgradnja školske zgrade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3E22A6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670.000,00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680FD7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43.423,89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D89A95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6,48</w:t>
            </w:r>
          </w:p>
        </w:tc>
      </w:tr>
      <w:tr w:rsidR="00B5294A" w:rsidRPr="00B5294A" w14:paraId="75D33AAA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E5C44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BA6D77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T102001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AA3DE1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Dopunska sredstva za materijalne rashode i opremu škola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B8D1D9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569.421,77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FB5B51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10.521,05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F2632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1,85</w:t>
            </w:r>
          </w:p>
        </w:tc>
      </w:tr>
      <w:tr w:rsidR="00B5294A" w:rsidRPr="00B5294A" w14:paraId="693550E5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37E87F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833D50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T102002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780E28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Sufinanciranje nabave radnih bilježnica učenicima OŠ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680607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300.000,00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600966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F96047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1E9B62E4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D6D461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427E07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T102006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DA05F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Projekt CROSS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F2400C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26.081,25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33E3AD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4.366,12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564299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16,74</w:t>
            </w:r>
          </w:p>
        </w:tc>
      </w:tr>
      <w:tr w:rsidR="00B5294A" w:rsidRPr="00B5294A" w14:paraId="2BC7A29D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2D75C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0B5E6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T102007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83187D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Baltazar 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F34DE3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32.930,94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A3E4DD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13.115,69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33CBA6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39,83</w:t>
            </w:r>
          </w:p>
        </w:tc>
      </w:tr>
      <w:tr w:rsidR="00B5294A" w:rsidRPr="00B5294A" w14:paraId="26B99DB2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4B6266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AECB85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1021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6693A9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NPOO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DF9DA9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44.202.656,61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544D3D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11.160,00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C7F9D1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0,03</w:t>
            </w:r>
          </w:p>
        </w:tc>
      </w:tr>
      <w:tr w:rsidR="00B5294A" w:rsidRPr="00B5294A" w14:paraId="118E57D5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E38D8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9BA5CE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D8AB50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Rekonstrukcija i dogradnja OŠ Bedekovčina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D4EABD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1.519.964,32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E237E6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2B5BFD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3139DE79" w14:textId="77777777" w:rsidTr="00B5294A">
        <w:trPr>
          <w:trHeight w:val="48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CCC31F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lastRenderedPageBreak/>
              <w:t>Kapitalni projekt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0A69CD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K102102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2DAB29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Rekonstrukcija i dogradnja OŠ Sveti Križ Začretje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B028C0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3.093.123,23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BC2802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FBAED9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22595A44" w14:textId="77777777" w:rsidTr="00B5294A">
        <w:trPr>
          <w:trHeight w:val="48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418A44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062BC8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K102103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6E6D87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Rekonstrukcija i dogradnja OŠ Veliko Trgovišće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10A1B4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2.464.298,25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BC53D6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D22EC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6BB5654E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8E8B19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1F2450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K102104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64FD0F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Rekonstrukcija i dogradnja OŠ Viktora Kovačića Hum na Sutli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F10C4C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687.735,63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15A353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B9B73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4B380A48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FC5C5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47065E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K102105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701398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Rekonstrukcija i dogradnja OŠ Belec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08293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2.954.591,66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522CA0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11.160,00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AE13B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0,38</w:t>
            </w:r>
          </w:p>
        </w:tc>
      </w:tr>
      <w:tr w:rsidR="00B5294A" w:rsidRPr="00B5294A" w14:paraId="0306315E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FEF571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BEC7BD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K102106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A57142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Rekonstrukcija i dogradnja OŠ Antuna Mihanovića </w:t>
            </w: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Petrovsko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9AD3FD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3.288.697,00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675DD0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2AC9CC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5C082530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A09EC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FF89BB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K102107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F7A1D9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Rekonstrukcija i dogradnja OŠ Zlatar Bistrica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ACDCB3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1.053.927,50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3F936D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B9FC1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43189E37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F879CC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097095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K102108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4E102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Izgradnja Centra za odgoj i obrazovanje Krapinske Toplice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6CF18F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11.534.348,34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1FE73C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9AD942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19181709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27A70D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E48695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K102109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FDD1A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Rekonstrukcija i dogradnja OŠ Krapinske Toplice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6618DA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4.018.155,48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782FA4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6C9719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6EE16EE7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C3871E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77CA7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K102110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A9F45F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Dogradnja OŠ Stjepana Radića Brestovec </w:t>
            </w: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Orehovički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4C15E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1.074.929,88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0F144D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2E9D01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0B3A42F3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9687E9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CE400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K102111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B7C059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Rekonstrukcija i dogradnja OŠ Oroslavje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EF6E0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4.685.728,79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F5C421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160D78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6C336987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527080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56B73F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K102112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64BD35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Rekonstrukcija i dogradnja OŠ Janka Leskovara Pregrada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5F8AFC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2.924.007,04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07CAEC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49CC6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484A9D6B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B643F4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DC5B8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K102113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3B0815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Rekonstrukcija i dogradnja OŠ Ante Kovačića Zlatar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55DE58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1.764.990,31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3A60F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0A72BD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247707F1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185ED6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F293D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K102114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1D805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Rekonstrukcija i dogradnja OŠ Donja Stubica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8D11AB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1.437.383,70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F9BBA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FA1278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5C705209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578797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9D8F76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K102115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397886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Rekonstrukcija OŠ Franje Horvata Kiša Lobor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7589F9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553.754,39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EEA12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6A9D58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0A1F9776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C08087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B3AD93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K102116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BAAD33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Izgradnja školske sportske dvorane PŠ </w:t>
            </w: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Dubrovčan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376ABF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1.102.021,09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AB016A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06191B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633424C6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902410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685044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K102117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02F3B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Projektno-tehnička dokumentacija - </w:t>
            </w: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jednosmjenska</w:t>
            </w:r>
            <w:proofErr w:type="spellEnd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 i dvosmjenska nastava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44B682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45.000,00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E66E8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22A7E1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5C175E97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273B9D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CAD34E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M01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BD2C2C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KULTURA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F863B3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1.416.450,00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B9B2D7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837.198,38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B2BD85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59,11</w:t>
            </w:r>
          </w:p>
        </w:tc>
      </w:tr>
      <w:tr w:rsidR="00B5294A" w:rsidRPr="00B5294A" w14:paraId="67064AE2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794B0B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E4CC2A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1022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1D4A73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UJEDNAČAVANJE, POTICANJE I PROMICANJE KULTURE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6207A8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1.416.450,00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70A06D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837.198,38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6B5C9A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59,11</w:t>
            </w:r>
          </w:p>
        </w:tc>
      </w:tr>
      <w:tr w:rsidR="00B5294A" w:rsidRPr="00B5294A" w14:paraId="7559BAC4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773AEE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0A600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A102201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1229A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Sufinanciranje izdavačke djelatnosti i elektronskih medija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4D3FDD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120.330,00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3BD568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74.821,85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AE435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62,18</w:t>
            </w:r>
          </w:p>
        </w:tc>
      </w:tr>
      <w:tr w:rsidR="00B5294A" w:rsidRPr="00B5294A" w14:paraId="3DD5A79A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E5ED57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72FC4D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A102202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E9F560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 kulturnog razvitka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1B52AC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270.410,00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E37106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230.455,02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17C04E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85,22</w:t>
            </w:r>
          </w:p>
        </w:tc>
      </w:tr>
      <w:tr w:rsidR="00B5294A" w:rsidRPr="00B5294A" w14:paraId="1CD450DA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88B9F1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F629DD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A102203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54DA68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 tehničke kulture i športa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EF9908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762.260,00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72B94C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435.160,69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DF7F73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57,09</w:t>
            </w:r>
          </w:p>
        </w:tc>
      </w:tr>
      <w:tr w:rsidR="00B5294A" w:rsidRPr="00B5294A" w14:paraId="4D5D6F4B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2E7A7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1BD9D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K102201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815EC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Zaštita spomenika kulture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31CF4C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263.450,00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8E7F20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96.760,82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3DC28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36,73</w:t>
            </w:r>
          </w:p>
        </w:tc>
      </w:tr>
      <w:tr w:rsidR="00B5294A" w:rsidRPr="00B5294A" w14:paraId="0E03B4A5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483627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Glava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F646CD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00602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AB0E54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USTANOVE U OBRAZOVANJU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F59895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81.881.257,38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8F6F50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41.791.751,29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3522AAE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51,04</w:t>
            </w:r>
          </w:p>
        </w:tc>
      </w:tr>
      <w:tr w:rsidR="00B5294A" w:rsidRPr="00B5294A" w14:paraId="3CB8FC1A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F35C50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CD57CE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J01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524B8E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OBRAZOVANJE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CD7393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81.881.257,38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7BB843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41.790.251,29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FCD295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51,04</w:t>
            </w:r>
          </w:p>
        </w:tc>
      </w:tr>
      <w:tr w:rsidR="00B5294A" w:rsidRPr="00B5294A" w14:paraId="704A5318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FAC3C1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D897B7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1017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E51966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OSNOVNO OBRAZOVANJE - ZAKONSKI STANDARD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B0322D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1.989.697,54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25D5C6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1.067.728,73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2AE359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53,66</w:t>
            </w:r>
          </w:p>
        </w:tc>
      </w:tr>
      <w:tr w:rsidR="00B5294A" w:rsidRPr="00B5294A" w14:paraId="4B2BDEE8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E62A1E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8E8FD5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A101701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D4BF34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Redovni poslovi ustanova osnovnog obrazovanja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5C0001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1.984.147,95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1D07FC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1.064.939,55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6C192D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53,67</w:t>
            </w:r>
          </w:p>
        </w:tc>
      </w:tr>
      <w:tr w:rsidR="00B5294A" w:rsidRPr="00B5294A" w14:paraId="010D978C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D13541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98D6F6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K101701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F7070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Izgradnja, dogradnja i adaptacija - OŠ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CD4634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1.099,59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AF1007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285,43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AACC4F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25,96</w:t>
            </w:r>
          </w:p>
        </w:tc>
      </w:tr>
      <w:tr w:rsidR="00B5294A" w:rsidRPr="00B5294A" w14:paraId="1D1045FB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17B787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8C9B70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T101701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D7ED97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Oprema, informatička oprema, nabava pomagala - OŠ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66AC1E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4.450,00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89E13B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2.503,75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3660D1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56,26</w:t>
            </w:r>
          </w:p>
        </w:tc>
      </w:tr>
      <w:tr w:rsidR="00B5294A" w:rsidRPr="00B5294A" w14:paraId="41F29EA3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4596AE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565F22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1018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307E01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SREDNJEŠKOLSKO OBRAZOVANJE - ZAKONSKI STANDARD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02DB4D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1.757.681,10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47F832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1.042.796,90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AD67FD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59,33</w:t>
            </w:r>
          </w:p>
        </w:tc>
      </w:tr>
      <w:tr w:rsidR="00B5294A" w:rsidRPr="00B5294A" w14:paraId="5979EFAA" w14:textId="77777777" w:rsidTr="00B5294A">
        <w:trPr>
          <w:trHeight w:val="48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3BCBD1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lastRenderedPageBreak/>
              <w:t>Aktivnost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AEE81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A101801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30A477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Redovni poslovi ustanova </w:t>
            </w: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srednješkolskog</w:t>
            </w:r>
            <w:proofErr w:type="spellEnd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 obrazovanja SŠ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64984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1.541.326,79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32421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836.942,59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51E60F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54,30</w:t>
            </w:r>
          </w:p>
        </w:tc>
      </w:tr>
      <w:tr w:rsidR="00B5294A" w:rsidRPr="00B5294A" w14:paraId="003D8FB3" w14:textId="77777777" w:rsidTr="00B5294A">
        <w:trPr>
          <w:trHeight w:val="48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5EC3F1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33D82F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K101801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D6124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Izgradnja, dogradnja i adaptacija SŠ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486F6E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204.053,91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BA7A4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204.053,91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4F1830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100,00</w:t>
            </w:r>
          </w:p>
        </w:tc>
      </w:tr>
      <w:tr w:rsidR="00B5294A" w:rsidRPr="00B5294A" w14:paraId="546541C7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BE70C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FAAA8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T101801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36D433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Oprema, informatička oprema, nabava pomagala - SŠ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1B8F2C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12.300,40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F463C3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1.800,40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481033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14,64</w:t>
            </w:r>
          </w:p>
        </w:tc>
      </w:tr>
      <w:tr w:rsidR="00B5294A" w:rsidRPr="00B5294A" w14:paraId="392DB854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B993F3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11C001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1019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A3C790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UČENIČKI DOM  - ZAKONSKI STANDARD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CFADE8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214.186,90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F36A4B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117.093,97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E5B21D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54,67</w:t>
            </w:r>
          </w:p>
        </w:tc>
      </w:tr>
      <w:tr w:rsidR="00B5294A" w:rsidRPr="00B5294A" w14:paraId="04A2DA2E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05412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6A1A92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A101901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2E2D5D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Redovni poslovi učeničkog doma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331A9E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214.186,90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3503A9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117.093,97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7E3AE4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54,67</w:t>
            </w:r>
          </w:p>
        </w:tc>
      </w:tr>
      <w:tr w:rsidR="00B5294A" w:rsidRPr="00B5294A" w14:paraId="7E573869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698C32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D83314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1020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D05DAD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DOPUNSKI NASTAVNI I VANNASTAVNI PROGRAM ŠKOLA I OBRAZ. INSTIT.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4A93B7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77.919.691,84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B5B9B3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39.562.631,69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45DD23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50,77</w:t>
            </w:r>
          </w:p>
        </w:tc>
      </w:tr>
      <w:tr w:rsidR="00B5294A" w:rsidRPr="00B5294A" w14:paraId="4101F295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31C149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74E0BC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A102001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26393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Dopunski nastavni i vannastavni program škola i obrazovnih institucija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6ECD9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245.248,10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D24AC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136.733,28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48AEF0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55,75</w:t>
            </w:r>
          </w:p>
        </w:tc>
      </w:tr>
      <w:tr w:rsidR="00B5294A" w:rsidRPr="00B5294A" w14:paraId="5BAC5144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2C419B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81A73C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A102002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9D8FA1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Financiranje - ostali rashodi OŠ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3FEBF1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50.016.984,36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EF679F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26.505.880,29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0B144E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52,99</w:t>
            </w:r>
          </w:p>
        </w:tc>
      </w:tr>
      <w:tr w:rsidR="00B5294A" w:rsidRPr="00B5294A" w14:paraId="3E011789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CB67C5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FCCD8E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A102003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0A9812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Financiranje - ostali rashodi SŠ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1CCF61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25.242.345,26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0A5F8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12.120.638,06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BFF58D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48,02</w:t>
            </w:r>
          </w:p>
        </w:tc>
      </w:tr>
      <w:tr w:rsidR="00B5294A" w:rsidRPr="00B5294A" w14:paraId="1F67CDBD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F0C95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269285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A102004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73E20C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Financiranje - ostali rashodi - UD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57C0D1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342.225,71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31012C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75.429,34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AAD8F8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22,04</w:t>
            </w:r>
          </w:p>
        </w:tc>
      </w:tr>
      <w:tr w:rsidR="00B5294A" w:rsidRPr="00B5294A" w14:paraId="2A043BFD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C4C9F2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2819C2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A102006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150D5B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 građanskog odgoja u školama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24B5B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28.900,00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C5CD3B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16.168,81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03345A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55,95</w:t>
            </w:r>
          </w:p>
        </w:tc>
      </w:tr>
      <w:tr w:rsidR="00B5294A" w:rsidRPr="00B5294A" w14:paraId="10486002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F7E195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39F4D4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A102008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163ECC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Razvoj poduzetništva kod djece i mladih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7EE47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2.475,00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C10353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746,70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4D7A7A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30,17</w:t>
            </w:r>
          </w:p>
        </w:tc>
      </w:tr>
      <w:tr w:rsidR="00B5294A" w:rsidRPr="00B5294A" w14:paraId="5B982725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397DD35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40E01B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A102009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656E1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Fotonapon</w:t>
            </w:r>
            <w:proofErr w:type="spellEnd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 PPA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63CB48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25.112,00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E59E6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0FA40E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139F481A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72298B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54ABD3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A102010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49BB2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Županija - prijatelj djece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A9C93C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16.533,36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3DE8C1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16.533,36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BB0404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100,00</w:t>
            </w:r>
          </w:p>
        </w:tc>
      </w:tr>
      <w:tr w:rsidR="00B5294A" w:rsidRPr="00B5294A" w14:paraId="7CE96D7A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09DD28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A2710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K102001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FD6767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Dopunska sredstva za izgradnju, dogradnju i adaptaciju škola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18BFFD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2E3772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5.450,00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5F2A6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619CAF1A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219E1E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5FC02B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K102004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0009E8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RCKTU - sportska dvorana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2CEE43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204.053,91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6168BF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15.102,48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03749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7,40</w:t>
            </w:r>
          </w:p>
        </w:tc>
      </w:tr>
      <w:tr w:rsidR="00B5294A" w:rsidRPr="00B5294A" w14:paraId="422B0E2B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2F6680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20126B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K102010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136017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PŠ </w:t>
            </w:r>
            <w:proofErr w:type="spellStart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Poznanovec</w:t>
            </w:r>
            <w:proofErr w:type="spellEnd"/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 xml:space="preserve"> - izgradnja školske zgrade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FE3B9D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25.500,00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E5CD44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8.900,00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A49897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34,90</w:t>
            </w:r>
          </w:p>
        </w:tc>
      </w:tr>
      <w:tr w:rsidR="00B5294A" w:rsidRPr="00B5294A" w14:paraId="580B9976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8CB581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BFF6DB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T102001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1207C3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Dopunska sredstva za materijalne rashode i opremu škola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649299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678.250,00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FCC30E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202.633,63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77D2BF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29,88</w:t>
            </w:r>
          </w:p>
        </w:tc>
      </w:tr>
      <w:tr w:rsidR="00B5294A" w:rsidRPr="00B5294A" w14:paraId="61CF1174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00B26B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6D86AE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T102002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78A23D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Sufinanciranje nabave radnih bilježnica učenicima OŠ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98ED07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6E056C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326,69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76CBE5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47A636B2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FDD870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091E2F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T102007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7BE271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Baltazar 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4EF01D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1.028.088,56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0255B9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415.296,92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43746D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40,40</w:t>
            </w:r>
          </w:p>
        </w:tc>
      </w:tr>
      <w:tr w:rsidR="00B5294A" w:rsidRPr="00B5294A" w14:paraId="5677AB03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E8D2B8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Tekući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CC6E6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T102008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5B354E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Školska shema 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BCC2D2D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63.975,58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EE17D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42.792,13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315CD7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66,89</w:t>
            </w:r>
          </w:p>
        </w:tc>
      </w:tr>
      <w:tr w:rsidR="00B5294A" w:rsidRPr="00B5294A" w14:paraId="13F6A43A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7E8840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E1EF17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M01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423318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KULTURA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530288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39012D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1.500,00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92ED03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1B5BD939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806FB3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EE15FE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1022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727F30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UJEDNAČAVANJE, POTICANJE I PROMICANJE KULTURE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2A27D6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EB0AA1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1.500,00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A78E7A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27799A00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DA9143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7A01E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A102202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5A91A3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 kulturnog razvitka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60B65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40A83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1.500,00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B82E43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B5294A" w:rsidRPr="00B5294A" w14:paraId="1EEDC259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7F15B62E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Razdjel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7EFB0E2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005AC95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UO ZA FINANCIJE I PRORAČUN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35EB842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6.592.893,32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2739625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3.531.092,69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5F7ECF9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53,56</w:t>
            </w:r>
          </w:p>
        </w:tc>
      </w:tr>
      <w:tr w:rsidR="00B5294A" w:rsidRPr="00B5294A" w14:paraId="4B567F52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2458D8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Glava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61541D0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00701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2EBA32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UO ZA FINANCIJE I PRORAČUN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4E0410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6.592.893,32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3A2A91D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3.531.092,69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E28B93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53,56</w:t>
            </w:r>
          </w:p>
        </w:tc>
      </w:tr>
      <w:tr w:rsidR="00B5294A" w:rsidRPr="00B5294A" w14:paraId="5A973AB6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05F4EC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35EB21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E01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2E1F45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JAVNA UPRAVA I ADMINISTRACIJA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1688B0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5.545.593,32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2A9321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2.681.275,79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FF3E4A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48,35</w:t>
            </w:r>
          </w:p>
        </w:tc>
      </w:tr>
      <w:tr w:rsidR="00B5294A" w:rsidRPr="00B5294A" w14:paraId="1C706310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6B4331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A1873B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1009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71CDBA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JAVNA UPRAVA I ADMINISTRACIJA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924305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5.545.593,32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C60930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2.681.275,79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FF4C68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48,35</w:t>
            </w:r>
          </w:p>
        </w:tc>
      </w:tr>
      <w:tr w:rsidR="00B5294A" w:rsidRPr="00B5294A" w14:paraId="3EA6DB46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E951DC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9A4214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A100901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89D6D4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Javna uprava i administracija - proračun i financije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A76C18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5.545.593,32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8EBCF8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2.681.275,79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9856CA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48,35</w:t>
            </w:r>
          </w:p>
        </w:tc>
      </w:tr>
      <w:tr w:rsidR="00B5294A" w:rsidRPr="00B5294A" w14:paraId="5542684A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236EFA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094069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T01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9CCFE6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OTPLATA KREDITA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847CC4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1.047.300,00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575392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849.816,90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D1E7A3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81,14</w:t>
            </w:r>
          </w:p>
        </w:tc>
      </w:tr>
      <w:tr w:rsidR="00B5294A" w:rsidRPr="00B5294A" w14:paraId="4C37DCB5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FA7CB7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335028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1029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3AF93CA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OTPLATA KREDITA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1C5B1E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1.047.300,00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846DF2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849.816,90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1EAEAA1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81,14</w:t>
            </w:r>
          </w:p>
        </w:tc>
      </w:tr>
      <w:tr w:rsidR="00B5294A" w:rsidRPr="00B5294A" w14:paraId="438EBEBF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61AEAC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AD20F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A102901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9D693A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Otplata kredita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7EC159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1.047.300,00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703F44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849.816,90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DBE2B4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81,14</w:t>
            </w:r>
          </w:p>
        </w:tc>
      </w:tr>
      <w:tr w:rsidR="00B5294A" w:rsidRPr="00B5294A" w14:paraId="6DCA2F82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5638869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Razdjel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518F5911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0358CCB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UO ZA OPĆU UPRAVU, IMOVINSKO-PRAVNE I ZAJEDNIČKE POSLOVE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00B1BB9C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2.944.798,96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3D76F53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966.150,64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17A9F28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32,81</w:t>
            </w:r>
          </w:p>
        </w:tc>
      </w:tr>
      <w:tr w:rsidR="00B5294A" w:rsidRPr="00B5294A" w14:paraId="5FE968F8" w14:textId="77777777" w:rsidTr="00B5294A">
        <w:trPr>
          <w:trHeight w:val="48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08D81D8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lastRenderedPageBreak/>
              <w:t>Glava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4FBAF96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00801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2FFF97B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UO ZA OPĆU UPRAVU, IMOVINSKO-PRAVNE I ZAJEDNIČKE POSLOVE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4112C70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2.944.798,96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86A9EE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966.150,64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D5FD13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hr-HR" w:eastAsia="hr-HR"/>
              </w:rPr>
              <w:t>32,81</w:t>
            </w:r>
          </w:p>
        </w:tc>
      </w:tr>
      <w:tr w:rsidR="00B5294A" w:rsidRPr="00B5294A" w14:paraId="165A009B" w14:textId="77777777" w:rsidTr="00B5294A">
        <w:trPr>
          <w:trHeight w:val="30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86CCB0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0B5E30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E01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CD427D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JAVNA UPRAVA I ADMINISTRACIJA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2092CD5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2.521.498,96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509DD6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776.932,20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67F227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30,81</w:t>
            </w:r>
          </w:p>
        </w:tc>
      </w:tr>
      <w:tr w:rsidR="00B5294A" w:rsidRPr="00B5294A" w14:paraId="1DC0F981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5D5F7D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C91385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1009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A2C120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JAVNA UPRAVA I ADMINISTRACIJA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7BCE3B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2.521.498,96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4780A6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776.932,20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C33794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30,81</w:t>
            </w:r>
          </w:p>
        </w:tc>
      </w:tr>
      <w:tr w:rsidR="00B5294A" w:rsidRPr="00B5294A" w14:paraId="37517048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F3099B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686B34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A100902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897F5B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Javna uprava i administracija - zajedničke službe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8BB6326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1.380.008,96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7D77C9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390.513,10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0D2F018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28,30</w:t>
            </w:r>
          </w:p>
        </w:tc>
      </w:tr>
      <w:tr w:rsidR="00B5294A" w:rsidRPr="00B5294A" w14:paraId="4A54616B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4D506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31240F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K100901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E53B48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Nefinancijska imovina - zajedničke službe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42571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957.300,00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815083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382.921,10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E82807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40,00</w:t>
            </w:r>
          </w:p>
        </w:tc>
      </w:tr>
      <w:tr w:rsidR="00B5294A" w:rsidRPr="00B5294A" w14:paraId="2A587D9F" w14:textId="77777777" w:rsidTr="00B5294A">
        <w:trPr>
          <w:trHeight w:val="48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22A2DA6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Kapitalni projekt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72602B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K100902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43C07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Digitalna transformacija KZŽ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A3A4FDE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184.190,00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16E6E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3.498,00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BA5952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1,90</w:t>
            </w:r>
          </w:p>
        </w:tc>
      </w:tr>
      <w:tr w:rsidR="00B5294A" w:rsidRPr="00B5294A" w14:paraId="62AF2CA0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FD7FEED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Glavni 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C5B8C7C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G01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F294857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ZAŠTITA OD POŽARA, OČUVANJE JAV.REDA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DC8FC8A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423.300,00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28CDFD2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189.218,44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1736324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44,70</w:t>
            </w:r>
          </w:p>
        </w:tc>
      </w:tr>
      <w:tr w:rsidR="00B5294A" w:rsidRPr="00B5294A" w14:paraId="49356FBC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54FDA14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Program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36E16F2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1014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1730820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PROTUPOŽARNA I CIVILNA ZAŠTITA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50B6EAB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423.300,00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2A1750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189.218,44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71484BF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44,70</w:t>
            </w:r>
          </w:p>
        </w:tc>
      </w:tr>
      <w:tr w:rsidR="00B5294A" w:rsidRPr="00B5294A" w14:paraId="0F1E8A2B" w14:textId="77777777" w:rsidTr="00B5294A">
        <w:trPr>
          <w:trHeight w:val="300"/>
        </w:trPr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20C6773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Aktivnost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0E96CAF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A101401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FB6179" w14:textId="77777777" w:rsidR="00B5294A" w:rsidRPr="00B5294A" w:rsidRDefault="00B5294A" w:rsidP="00B5294A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Protupožarna i civilna zaštita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7D72803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423.300,00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26D8C0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189.218,44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1561989" w14:textId="77777777" w:rsidR="00B5294A" w:rsidRPr="00B5294A" w:rsidRDefault="00B5294A" w:rsidP="00B5294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 w:rsidRPr="00B529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hr-HR" w:eastAsia="hr-HR"/>
              </w:rPr>
              <w:t>44,70</w:t>
            </w:r>
          </w:p>
        </w:tc>
      </w:tr>
    </w:tbl>
    <w:p w14:paraId="4AEEBBDB" w14:textId="77777777" w:rsidR="006C2AD0" w:rsidRDefault="006C2AD0" w:rsidP="006C2AD0">
      <w:pPr>
        <w:suppressAutoHyphens w:val="0"/>
        <w:spacing w:line="276" w:lineRule="auto"/>
        <w:jc w:val="center"/>
        <w:rPr>
          <w:rFonts w:cs="Times New Roman"/>
          <w:b/>
          <w:sz w:val="24"/>
          <w:szCs w:val="24"/>
          <w:lang w:val="hr-HR"/>
        </w:rPr>
      </w:pPr>
    </w:p>
    <w:p w14:paraId="5192BD2E" w14:textId="77777777" w:rsidR="006C2AD0" w:rsidRDefault="006C2AD0" w:rsidP="006C2AD0">
      <w:pPr>
        <w:suppressAutoHyphens w:val="0"/>
        <w:spacing w:line="276" w:lineRule="auto"/>
        <w:jc w:val="center"/>
        <w:rPr>
          <w:rFonts w:cs="Times New Roman"/>
          <w:b/>
          <w:sz w:val="24"/>
          <w:szCs w:val="24"/>
          <w:lang w:val="hr-HR"/>
        </w:rPr>
      </w:pPr>
    </w:p>
    <w:p w14:paraId="43A06523" w14:textId="77777777" w:rsidR="006C2AD0" w:rsidRPr="001C2019" w:rsidRDefault="006C2AD0" w:rsidP="006C2AD0">
      <w:pPr>
        <w:suppressAutoHyphens w:val="0"/>
        <w:spacing w:line="276" w:lineRule="auto"/>
        <w:jc w:val="center"/>
        <w:rPr>
          <w:rFonts w:cs="Times New Roman"/>
          <w:b/>
          <w:sz w:val="24"/>
          <w:szCs w:val="24"/>
          <w:lang w:val="hr-HR"/>
        </w:rPr>
      </w:pPr>
    </w:p>
    <w:sectPr w:rsidR="006C2AD0" w:rsidRPr="001C2019" w:rsidSect="0096346E">
      <w:headerReference w:type="default" r:id="rId13"/>
      <w:pgSz w:w="11906" w:h="16838"/>
      <w:pgMar w:top="1438" w:right="1417" w:bottom="1258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1056D" w14:textId="77777777" w:rsidR="00E27133" w:rsidRDefault="00E27133" w:rsidP="0023114A">
      <w:r>
        <w:separator/>
      </w:r>
    </w:p>
  </w:endnote>
  <w:endnote w:type="continuationSeparator" w:id="0">
    <w:p w14:paraId="331519C9" w14:textId="77777777" w:rsidR="00E27133" w:rsidRDefault="00E27133" w:rsidP="00231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68277" w14:textId="77777777" w:rsidR="00E27133" w:rsidRDefault="00E27133" w:rsidP="0023114A">
      <w:r>
        <w:separator/>
      </w:r>
    </w:p>
  </w:footnote>
  <w:footnote w:type="continuationSeparator" w:id="0">
    <w:p w14:paraId="62E05600" w14:textId="77777777" w:rsidR="00E27133" w:rsidRDefault="00E27133" w:rsidP="0023114A">
      <w:r>
        <w:continuationSeparator/>
      </w:r>
    </w:p>
  </w:footnote>
  <w:footnote w:id="1">
    <w:p w14:paraId="2F3319C9" w14:textId="77777777" w:rsidR="001C2019" w:rsidRPr="00F13B9F" w:rsidRDefault="001C2019" w:rsidP="001C2019">
      <w:pPr>
        <w:pStyle w:val="Tekstfusnote"/>
        <w:jc w:val="both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hr-HR"/>
        </w:rPr>
        <w:t>Proračunski korisnici Krapinsko-zagorske županije: osnovne i srednje škole, zdravstvene ustanove, učenički domovi, Javna ustanova Zagorje Zeleno, Zavod za prostorno uređenje, Zagorska razvojna agencija, Javna ustanova NOVI POČETAK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45BB7" w14:textId="77777777" w:rsidR="00B80F64" w:rsidRDefault="00B80F64" w:rsidP="001E6DDA">
    <w:pPr>
      <w:pStyle w:val="Zaglavlje"/>
    </w:pPr>
  </w:p>
  <w:p w14:paraId="0FCF3A33" w14:textId="77777777" w:rsidR="00B80F64" w:rsidRPr="001E6DDA" w:rsidRDefault="00B80F64" w:rsidP="001E6DDA">
    <w:pPr>
      <w:pStyle w:val="Zaglavlj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1B81AB6"/>
    <w:multiLevelType w:val="hybridMultilevel"/>
    <w:tmpl w:val="9704E366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5F589F"/>
    <w:multiLevelType w:val="hybridMultilevel"/>
    <w:tmpl w:val="126031D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D2DA9"/>
    <w:multiLevelType w:val="hybridMultilevel"/>
    <w:tmpl w:val="52F29684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B291A63"/>
    <w:multiLevelType w:val="hybridMultilevel"/>
    <w:tmpl w:val="F2C0512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55A9C"/>
    <w:multiLevelType w:val="hybridMultilevel"/>
    <w:tmpl w:val="E7E4B53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C53636"/>
    <w:multiLevelType w:val="hybridMultilevel"/>
    <w:tmpl w:val="DFBEF7F0"/>
    <w:lvl w:ilvl="0" w:tplc="919CB8B0">
      <w:numFmt w:val="bullet"/>
      <w:lvlText w:val="-"/>
      <w:lvlJc w:val="left"/>
      <w:pPr>
        <w:ind w:left="744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11" w15:restartNumberingAfterBreak="0">
    <w:nsid w:val="5A246861"/>
    <w:multiLevelType w:val="hybridMultilevel"/>
    <w:tmpl w:val="22A432EE"/>
    <w:lvl w:ilvl="0" w:tplc="00000003">
      <w:start w:val="1"/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FB66EDC"/>
    <w:multiLevelType w:val="hybridMultilevel"/>
    <w:tmpl w:val="60B466A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865179">
    <w:abstractNumId w:val="4"/>
  </w:num>
  <w:num w:numId="2" w16cid:durableId="166480462">
    <w:abstractNumId w:val="7"/>
  </w:num>
  <w:num w:numId="3" w16cid:durableId="1978294">
    <w:abstractNumId w:val="9"/>
  </w:num>
  <w:num w:numId="4" w16cid:durableId="618222912">
    <w:abstractNumId w:val="12"/>
  </w:num>
  <w:num w:numId="5" w16cid:durableId="118227084">
    <w:abstractNumId w:val="6"/>
  </w:num>
  <w:num w:numId="6" w16cid:durableId="505677088">
    <w:abstractNumId w:val="11"/>
  </w:num>
  <w:num w:numId="7" w16cid:durableId="1563523086">
    <w:abstractNumId w:val="5"/>
  </w:num>
  <w:num w:numId="8" w16cid:durableId="365373376">
    <w:abstractNumId w:val="8"/>
  </w:num>
  <w:num w:numId="9" w16cid:durableId="138321110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EC8"/>
    <w:rsid w:val="000017C9"/>
    <w:rsid w:val="00002466"/>
    <w:rsid w:val="0000346C"/>
    <w:rsid w:val="00003B3E"/>
    <w:rsid w:val="000041E6"/>
    <w:rsid w:val="00004A85"/>
    <w:rsid w:val="00006E4D"/>
    <w:rsid w:val="00007A1C"/>
    <w:rsid w:val="00007D00"/>
    <w:rsid w:val="0001030A"/>
    <w:rsid w:val="000106CB"/>
    <w:rsid w:val="000113DC"/>
    <w:rsid w:val="000126A8"/>
    <w:rsid w:val="000129AB"/>
    <w:rsid w:val="00012A40"/>
    <w:rsid w:val="00014B95"/>
    <w:rsid w:val="000159DF"/>
    <w:rsid w:val="00015B9A"/>
    <w:rsid w:val="00015C75"/>
    <w:rsid w:val="000173AC"/>
    <w:rsid w:val="00020520"/>
    <w:rsid w:val="00020A1A"/>
    <w:rsid w:val="00020B97"/>
    <w:rsid w:val="00020D9E"/>
    <w:rsid w:val="000211EA"/>
    <w:rsid w:val="000217C4"/>
    <w:rsid w:val="0002261B"/>
    <w:rsid w:val="0002300B"/>
    <w:rsid w:val="00025845"/>
    <w:rsid w:val="000263CE"/>
    <w:rsid w:val="00026AE0"/>
    <w:rsid w:val="00026CCE"/>
    <w:rsid w:val="00030D63"/>
    <w:rsid w:val="00030E9B"/>
    <w:rsid w:val="00031451"/>
    <w:rsid w:val="00031AE7"/>
    <w:rsid w:val="00032448"/>
    <w:rsid w:val="000324AB"/>
    <w:rsid w:val="00032AF2"/>
    <w:rsid w:val="00032CE5"/>
    <w:rsid w:val="00033C80"/>
    <w:rsid w:val="00034536"/>
    <w:rsid w:val="00034F75"/>
    <w:rsid w:val="00034FCF"/>
    <w:rsid w:val="00035055"/>
    <w:rsid w:val="00035885"/>
    <w:rsid w:val="00036099"/>
    <w:rsid w:val="000360D5"/>
    <w:rsid w:val="00036BBF"/>
    <w:rsid w:val="00037293"/>
    <w:rsid w:val="0003758E"/>
    <w:rsid w:val="00040D44"/>
    <w:rsid w:val="000410F5"/>
    <w:rsid w:val="00042CD3"/>
    <w:rsid w:val="00043BA5"/>
    <w:rsid w:val="00043ED2"/>
    <w:rsid w:val="00043FC2"/>
    <w:rsid w:val="0004448B"/>
    <w:rsid w:val="00045CF4"/>
    <w:rsid w:val="00046EB8"/>
    <w:rsid w:val="00047851"/>
    <w:rsid w:val="0005006A"/>
    <w:rsid w:val="00050BBF"/>
    <w:rsid w:val="00051DD6"/>
    <w:rsid w:val="000529F6"/>
    <w:rsid w:val="0005331C"/>
    <w:rsid w:val="000533AA"/>
    <w:rsid w:val="00053D77"/>
    <w:rsid w:val="0005503F"/>
    <w:rsid w:val="000561EC"/>
    <w:rsid w:val="000565FB"/>
    <w:rsid w:val="00056FBC"/>
    <w:rsid w:val="000576AB"/>
    <w:rsid w:val="000600DA"/>
    <w:rsid w:val="00060DEB"/>
    <w:rsid w:val="00061F9E"/>
    <w:rsid w:val="00064232"/>
    <w:rsid w:val="000647CC"/>
    <w:rsid w:val="00065165"/>
    <w:rsid w:val="00067305"/>
    <w:rsid w:val="00070F0B"/>
    <w:rsid w:val="00071961"/>
    <w:rsid w:val="00071C93"/>
    <w:rsid w:val="000724C2"/>
    <w:rsid w:val="000737EF"/>
    <w:rsid w:val="00073955"/>
    <w:rsid w:val="00073E2F"/>
    <w:rsid w:val="00074AFF"/>
    <w:rsid w:val="00074FE6"/>
    <w:rsid w:val="00075322"/>
    <w:rsid w:val="00075C5C"/>
    <w:rsid w:val="00076026"/>
    <w:rsid w:val="00076339"/>
    <w:rsid w:val="00077197"/>
    <w:rsid w:val="00080AB7"/>
    <w:rsid w:val="00080CAE"/>
    <w:rsid w:val="00081472"/>
    <w:rsid w:val="00081B8A"/>
    <w:rsid w:val="00081BAB"/>
    <w:rsid w:val="00081BD9"/>
    <w:rsid w:val="000821A1"/>
    <w:rsid w:val="0008254E"/>
    <w:rsid w:val="0008346B"/>
    <w:rsid w:val="00084565"/>
    <w:rsid w:val="000845C4"/>
    <w:rsid w:val="0008493B"/>
    <w:rsid w:val="0008623F"/>
    <w:rsid w:val="00086682"/>
    <w:rsid w:val="00086B36"/>
    <w:rsid w:val="00086E23"/>
    <w:rsid w:val="0008730B"/>
    <w:rsid w:val="000879C7"/>
    <w:rsid w:val="00087CCF"/>
    <w:rsid w:val="00090BD3"/>
    <w:rsid w:val="00092756"/>
    <w:rsid w:val="0009282C"/>
    <w:rsid w:val="00092DE8"/>
    <w:rsid w:val="000A2001"/>
    <w:rsid w:val="000A20AC"/>
    <w:rsid w:val="000A3837"/>
    <w:rsid w:val="000A4651"/>
    <w:rsid w:val="000A489B"/>
    <w:rsid w:val="000A4CFF"/>
    <w:rsid w:val="000A4D5B"/>
    <w:rsid w:val="000A5244"/>
    <w:rsid w:val="000A6466"/>
    <w:rsid w:val="000A66DD"/>
    <w:rsid w:val="000B0BB6"/>
    <w:rsid w:val="000B1B7B"/>
    <w:rsid w:val="000B3BB3"/>
    <w:rsid w:val="000B3F4C"/>
    <w:rsid w:val="000B41F1"/>
    <w:rsid w:val="000B5A9E"/>
    <w:rsid w:val="000B6669"/>
    <w:rsid w:val="000B74CB"/>
    <w:rsid w:val="000B7EE8"/>
    <w:rsid w:val="000C18B5"/>
    <w:rsid w:val="000C34D5"/>
    <w:rsid w:val="000C3BE8"/>
    <w:rsid w:val="000C3D7C"/>
    <w:rsid w:val="000C40CB"/>
    <w:rsid w:val="000C4586"/>
    <w:rsid w:val="000C4BC5"/>
    <w:rsid w:val="000C60F7"/>
    <w:rsid w:val="000C7E20"/>
    <w:rsid w:val="000D17E4"/>
    <w:rsid w:val="000D245C"/>
    <w:rsid w:val="000D25AA"/>
    <w:rsid w:val="000D2C0C"/>
    <w:rsid w:val="000D3196"/>
    <w:rsid w:val="000D6022"/>
    <w:rsid w:val="000D6181"/>
    <w:rsid w:val="000D6199"/>
    <w:rsid w:val="000D64A0"/>
    <w:rsid w:val="000D6AE0"/>
    <w:rsid w:val="000D6F7C"/>
    <w:rsid w:val="000D7469"/>
    <w:rsid w:val="000D7731"/>
    <w:rsid w:val="000D77C6"/>
    <w:rsid w:val="000E092F"/>
    <w:rsid w:val="000E0ED2"/>
    <w:rsid w:val="000E10E0"/>
    <w:rsid w:val="000E29C6"/>
    <w:rsid w:val="000E2D73"/>
    <w:rsid w:val="000E40D9"/>
    <w:rsid w:val="000E657F"/>
    <w:rsid w:val="000E6A6E"/>
    <w:rsid w:val="000E6E64"/>
    <w:rsid w:val="000E71B9"/>
    <w:rsid w:val="000F106A"/>
    <w:rsid w:val="000F110A"/>
    <w:rsid w:val="000F11C2"/>
    <w:rsid w:val="000F35C4"/>
    <w:rsid w:val="000F4CE7"/>
    <w:rsid w:val="000F58B9"/>
    <w:rsid w:val="000F62CE"/>
    <w:rsid w:val="000F701C"/>
    <w:rsid w:val="00100227"/>
    <w:rsid w:val="001007B8"/>
    <w:rsid w:val="00101516"/>
    <w:rsid w:val="00101A7F"/>
    <w:rsid w:val="0010223A"/>
    <w:rsid w:val="001023DC"/>
    <w:rsid w:val="0010291E"/>
    <w:rsid w:val="00105688"/>
    <w:rsid w:val="00105F92"/>
    <w:rsid w:val="001070DB"/>
    <w:rsid w:val="00107431"/>
    <w:rsid w:val="00111D9A"/>
    <w:rsid w:val="001124F6"/>
    <w:rsid w:val="00112ADF"/>
    <w:rsid w:val="0011401B"/>
    <w:rsid w:val="00114B1B"/>
    <w:rsid w:val="00115884"/>
    <w:rsid w:val="0011674C"/>
    <w:rsid w:val="001167A6"/>
    <w:rsid w:val="00116AB4"/>
    <w:rsid w:val="0012033F"/>
    <w:rsid w:val="00121E52"/>
    <w:rsid w:val="00122991"/>
    <w:rsid w:val="00123375"/>
    <w:rsid w:val="00123889"/>
    <w:rsid w:val="00123B41"/>
    <w:rsid w:val="0012416B"/>
    <w:rsid w:val="001242B3"/>
    <w:rsid w:val="00124390"/>
    <w:rsid w:val="00124DD6"/>
    <w:rsid w:val="00125583"/>
    <w:rsid w:val="00125859"/>
    <w:rsid w:val="00125ED9"/>
    <w:rsid w:val="00126533"/>
    <w:rsid w:val="00126CDD"/>
    <w:rsid w:val="00127065"/>
    <w:rsid w:val="00130333"/>
    <w:rsid w:val="00130B4B"/>
    <w:rsid w:val="00130FF0"/>
    <w:rsid w:val="00131917"/>
    <w:rsid w:val="00131A87"/>
    <w:rsid w:val="00131C08"/>
    <w:rsid w:val="001334E7"/>
    <w:rsid w:val="001345DE"/>
    <w:rsid w:val="001349B9"/>
    <w:rsid w:val="00136304"/>
    <w:rsid w:val="001363C9"/>
    <w:rsid w:val="001372A6"/>
    <w:rsid w:val="00137554"/>
    <w:rsid w:val="00137EE6"/>
    <w:rsid w:val="0014042F"/>
    <w:rsid w:val="00141025"/>
    <w:rsid w:val="00142052"/>
    <w:rsid w:val="00142683"/>
    <w:rsid w:val="00142817"/>
    <w:rsid w:val="00142C88"/>
    <w:rsid w:val="00143B39"/>
    <w:rsid w:val="00144947"/>
    <w:rsid w:val="00145389"/>
    <w:rsid w:val="001459E2"/>
    <w:rsid w:val="00146B29"/>
    <w:rsid w:val="00150306"/>
    <w:rsid w:val="0015036A"/>
    <w:rsid w:val="001504CC"/>
    <w:rsid w:val="001516AB"/>
    <w:rsid w:val="00153214"/>
    <w:rsid w:val="00154C28"/>
    <w:rsid w:val="00154C83"/>
    <w:rsid w:val="00154DB6"/>
    <w:rsid w:val="001563AA"/>
    <w:rsid w:val="00157ADC"/>
    <w:rsid w:val="001616A5"/>
    <w:rsid w:val="00162476"/>
    <w:rsid w:val="00162788"/>
    <w:rsid w:val="00163AB0"/>
    <w:rsid w:val="0016454F"/>
    <w:rsid w:val="00164821"/>
    <w:rsid w:val="00165AC8"/>
    <w:rsid w:val="00167179"/>
    <w:rsid w:val="0016756A"/>
    <w:rsid w:val="00167AA8"/>
    <w:rsid w:val="00170213"/>
    <w:rsid w:val="00172217"/>
    <w:rsid w:val="00173C64"/>
    <w:rsid w:val="00175B06"/>
    <w:rsid w:val="00177B98"/>
    <w:rsid w:val="0018062E"/>
    <w:rsid w:val="0018089D"/>
    <w:rsid w:val="001811CB"/>
    <w:rsid w:val="00181B43"/>
    <w:rsid w:val="00182403"/>
    <w:rsid w:val="001827B7"/>
    <w:rsid w:val="00183229"/>
    <w:rsid w:val="00184A7D"/>
    <w:rsid w:val="001855E3"/>
    <w:rsid w:val="00187849"/>
    <w:rsid w:val="0019079C"/>
    <w:rsid w:val="00190EBC"/>
    <w:rsid w:val="00193519"/>
    <w:rsid w:val="001950C1"/>
    <w:rsid w:val="0019557E"/>
    <w:rsid w:val="00196C89"/>
    <w:rsid w:val="00196E48"/>
    <w:rsid w:val="001A02CB"/>
    <w:rsid w:val="001A07BF"/>
    <w:rsid w:val="001A0AE7"/>
    <w:rsid w:val="001A149D"/>
    <w:rsid w:val="001A28E2"/>
    <w:rsid w:val="001A4DFD"/>
    <w:rsid w:val="001A5CD7"/>
    <w:rsid w:val="001A7A0F"/>
    <w:rsid w:val="001A7C9E"/>
    <w:rsid w:val="001B02BC"/>
    <w:rsid w:val="001B03D8"/>
    <w:rsid w:val="001B0E0A"/>
    <w:rsid w:val="001B266F"/>
    <w:rsid w:val="001B4023"/>
    <w:rsid w:val="001B41F0"/>
    <w:rsid w:val="001B60A4"/>
    <w:rsid w:val="001B6F0D"/>
    <w:rsid w:val="001C1C4D"/>
    <w:rsid w:val="001C1CE0"/>
    <w:rsid w:val="001C2019"/>
    <w:rsid w:val="001C2D91"/>
    <w:rsid w:val="001C2EA7"/>
    <w:rsid w:val="001C31BB"/>
    <w:rsid w:val="001C45F6"/>
    <w:rsid w:val="001C5C8C"/>
    <w:rsid w:val="001C79C3"/>
    <w:rsid w:val="001C7C89"/>
    <w:rsid w:val="001C7DD5"/>
    <w:rsid w:val="001C7E5E"/>
    <w:rsid w:val="001D0086"/>
    <w:rsid w:val="001D008F"/>
    <w:rsid w:val="001D025C"/>
    <w:rsid w:val="001D212A"/>
    <w:rsid w:val="001D2B32"/>
    <w:rsid w:val="001D433B"/>
    <w:rsid w:val="001E02C8"/>
    <w:rsid w:val="001E1C5B"/>
    <w:rsid w:val="001E1DEB"/>
    <w:rsid w:val="001E26A6"/>
    <w:rsid w:val="001E2ADD"/>
    <w:rsid w:val="001E2E85"/>
    <w:rsid w:val="001E3195"/>
    <w:rsid w:val="001E35CF"/>
    <w:rsid w:val="001E4034"/>
    <w:rsid w:val="001E40EB"/>
    <w:rsid w:val="001E445B"/>
    <w:rsid w:val="001E4EA2"/>
    <w:rsid w:val="001E4FAC"/>
    <w:rsid w:val="001E5316"/>
    <w:rsid w:val="001E5B87"/>
    <w:rsid w:val="001E6357"/>
    <w:rsid w:val="001E66D7"/>
    <w:rsid w:val="001E6DDA"/>
    <w:rsid w:val="001E7AE6"/>
    <w:rsid w:val="001F22F6"/>
    <w:rsid w:val="001F2472"/>
    <w:rsid w:val="001F4C8A"/>
    <w:rsid w:val="001F524E"/>
    <w:rsid w:val="001F7DA5"/>
    <w:rsid w:val="00201DC8"/>
    <w:rsid w:val="002020A4"/>
    <w:rsid w:val="002047C5"/>
    <w:rsid w:val="002056CE"/>
    <w:rsid w:val="00207CE8"/>
    <w:rsid w:val="00207FFB"/>
    <w:rsid w:val="00210585"/>
    <w:rsid w:val="00211575"/>
    <w:rsid w:val="00211751"/>
    <w:rsid w:val="00211C10"/>
    <w:rsid w:val="0021219B"/>
    <w:rsid w:val="0021229C"/>
    <w:rsid w:val="002124A8"/>
    <w:rsid w:val="00212604"/>
    <w:rsid w:val="00213292"/>
    <w:rsid w:val="00213824"/>
    <w:rsid w:val="002155B8"/>
    <w:rsid w:val="00215D4C"/>
    <w:rsid w:val="002167FF"/>
    <w:rsid w:val="0021743A"/>
    <w:rsid w:val="0022071F"/>
    <w:rsid w:val="00220DAF"/>
    <w:rsid w:val="00220EB7"/>
    <w:rsid w:val="00221BC4"/>
    <w:rsid w:val="00224971"/>
    <w:rsid w:val="002257A4"/>
    <w:rsid w:val="00225839"/>
    <w:rsid w:val="00226683"/>
    <w:rsid w:val="00226D6E"/>
    <w:rsid w:val="00226ED4"/>
    <w:rsid w:val="00227ACC"/>
    <w:rsid w:val="00230291"/>
    <w:rsid w:val="0023114A"/>
    <w:rsid w:val="00231B45"/>
    <w:rsid w:val="00231D88"/>
    <w:rsid w:val="00231EEE"/>
    <w:rsid w:val="00232228"/>
    <w:rsid w:val="00232731"/>
    <w:rsid w:val="00233128"/>
    <w:rsid w:val="002334C6"/>
    <w:rsid w:val="002338D0"/>
    <w:rsid w:val="00233908"/>
    <w:rsid w:val="002341C2"/>
    <w:rsid w:val="002364CD"/>
    <w:rsid w:val="0023675D"/>
    <w:rsid w:val="00237463"/>
    <w:rsid w:val="00237CC7"/>
    <w:rsid w:val="00237EBF"/>
    <w:rsid w:val="0024027F"/>
    <w:rsid w:val="00240A0F"/>
    <w:rsid w:val="00240FC4"/>
    <w:rsid w:val="002413E0"/>
    <w:rsid w:val="00241F35"/>
    <w:rsid w:val="002431B4"/>
    <w:rsid w:val="002432C4"/>
    <w:rsid w:val="00243F19"/>
    <w:rsid w:val="00245552"/>
    <w:rsid w:val="002456C4"/>
    <w:rsid w:val="002459F0"/>
    <w:rsid w:val="002462B7"/>
    <w:rsid w:val="0024785A"/>
    <w:rsid w:val="0025215E"/>
    <w:rsid w:val="002530DD"/>
    <w:rsid w:val="00253312"/>
    <w:rsid w:val="00253B38"/>
    <w:rsid w:val="00254389"/>
    <w:rsid w:val="0025491A"/>
    <w:rsid w:val="002552FE"/>
    <w:rsid w:val="0025651A"/>
    <w:rsid w:val="002608C5"/>
    <w:rsid w:val="00261DBB"/>
    <w:rsid w:val="002622A9"/>
    <w:rsid w:val="00262AA4"/>
    <w:rsid w:val="002638B7"/>
    <w:rsid w:val="00264317"/>
    <w:rsid w:val="0026465E"/>
    <w:rsid w:val="00265C75"/>
    <w:rsid w:val="00265C94"/>
    <w:rsid w:val="0026682C"/>
    <w:rsid w:val="00267ED6"/>
    <w:rsid w:val="00271838"/>
    <w:rsid w:val="00272E1D"/>
    <w:rsid w:val="0027328F"/>
    <w:rsid w:val="00273812"/>
    <w:rsid w:val="0027490A"/>
    <w:rsid w:val="00274FDA"/>
    <w:rsid w:val="002756E2"/>
    <w:rsid w:val="002760E1"/>
    <w:rsid w:val="00276E99"/>
    <w:rsid w:val="00277F39"/>
    <w:rsid w:val="00277FBB"/>
    <w:rsid w:val="0028066A"/>
    <w:rsid w:val="0028129C"/>
    <w:rsid w:val="00281DEF"/>
    <w:rsid w:val="00282C6F"/>
    <w:rsid w:val="002832D2"/>
    <w:rsid w:val="00283417"/>
    <w:rsid w:val="00283931"/>
    <w:rsid w:val="002848C4"/>
    <w:rsid w:val="00285EF4"/>
    <w:rsid w:val="00287437"/>
    <w:rsid w:val="00287C1C"/>
    <w:rsid w:val="00290A1D"/>
    <w:rsid w:val="00290ED9"/>
    <w:rsid w:val="002918D6"/>
    <w:rsid w:val="00291B21"/>
    <w:rsid w:val="0029257B"/>
    <w:rsid w:val="0029361E"/>
    <w:rsid w:val="00293868"/>
    <w:rsid w:val="00293D9F"/>
    <w:rsid w:val="0029502E"/>
    <w:rsid w:val="00295AE6"/>
    <w:rsid w:val="002961C3"/>
    <w:rsid w:val="0029654A"/>
    <w:rsid w:val="00296690"/>
    <w:rsid w:val="00296789"/>
    <w:rsid w:val="002A2C29"/>
    <w:rsid w:val="002A333C"/>
    <w:rsid w:val="002A3362"/>
    <w:rsid w:val="002A379B"/>
    <w:rsid w:val="002A44F1"/>
    <w:rsid w:val="002A5E45"/>
    <w:rsid w:val="002A65D3"/>
    <w:rsid w:val="002A6B69"/>
    <w:rsid w:val="002A751A"/>
    <w:rsid w:val="002A76C4"/>
    <w:rsid w:val="002A7AFE"/>
    <w:rsid w:val="002A7F22"/>
    <w:rsid w:val="002B00FA"/>
    <w:rsid w:val="002B15F1"/>
    <w:rsid w:val="002B16C6"/>
    <w:rsid w:val="002B19DC"/>
    <w:rsid w:val="002B1C46"/>
    <w:rsid w:val="002B1DC9"/>
    <w:rsid w:val="002B2679"/>
    <w:rsid w:val="002B27B8"/>
    <w:rsid w:val="002B2AFB"/>
    <w:rsid w:val="002B32FA"/>
    <w:rsid w:val="002B3E8E"/>
    <w:rsid w:val="002B4A74"/>
    <w:rsid w:val="002B5B4A"/>
    <w:rsid w:val="002B6D1E"/>
    <w:rsid w:val="002B708F"/>
    <w:rsid w:val="002C07BE"/>
    <w:rsid w:val="002C0A2C"/>
    <w:rsid w:val="002C21E7"/>
    <w:rsid w:val="002C26E3"/>
    <w:rsid w:val="002C2E6C"/>
    <w:rsid w:val="002C3802"/>
    <w:rsid w:val="002C465C"/>
    <w:rsid w:val="002C4B49"/>
    <w:rsid w:val="002C4C4A"/>
    <w:rsid w:val="002C5636"/>
    <w:rsid w:val="002C5AED"/>
    <w:rsid w:val="002C6BD6"/>
    <w:rsid w:val="002C6DF9"/>
    <w:rsid w:val="002D071D"/>
    <w:rsid w:val="002D1034"/>
    <w:rsid w:val="002D1692"/>
    <w:rsid w:val="002D18FF"/>
    <w:rsid w:val="002D193A"/>
    <w:rsid w:val="002D2E69"/>
    <w:rsid w:val="002D3E4A"/>
    <w:rsid w:val="002D5C10"/>
    <w:rsid w:val="002D7EC8"/>
    <w:rsid w:val="002E11DC"/>
    <w:rsid w:val="002E1601"/>
    <w:rsid w:val="002E2171"/>
    <w:rsid w:val="002E2B5F"/>
    <w:rsid w:val="002E4421"/>
    <w:rsid w:val="002E5E41"/>
    <w:rsid w:val="002E720A"/>
    <w:rsid w:val="002E7A9E"/>
    <w:rsid w:val="002F038A"/>
    <w:rsid w:val="002F0868"/>
    <w:rsid w:val="002F1711"/>
    <w:rsid w:val="002F219C"/>
    <w:rsid w:val="002F227C"/>
    <w:rsid w:val="002F22E8"/>
    <w:rsid w:val="002F2402"/>
    <w:rsid w:val="002F2F95"/>
    <w:rsid w:val="002F4F18"/>
    <w:rsid w:val="002F5819"/>
    <w:rsid w:val="002F5957"/>
    <w:rsid w:val="002F66C0"/>
    <w:rsid w:val="002F6BDD"/>
    <w:rsid w:val="002F6D9D"/>
    <w:rsid w:val="00300231"/>
    <w:rsid w:val="00300998"/>
    <w:rsid w:val="0030193F"/>
    <w:rsid w:val="003020E1"/>
    <w:rsid w:val="00302D6A"/>
    <w:rsid w:val="0030306F"/>
    <w:rsid w:val="003031CB"/>
    <w:rsid w:val="0030590A"/>
    <w:rsid w:val="00305DEA"/>
    <w:rsid w:val="003063D0"/>
    <w:rsid w:val="00306D88"/>
    <w:rsid w:val="0030746C"/>
    <w:rsid w:val="00307D72"/>
    <w:rsid w:val="00310035"/>
    <w:rsid w:val="003103E1"/>
    <w:rsid w:val="0031190E"/>
    <w:rsid w:val="00311B23"/>
    <w:rsid w:val="00313D63"/>
    <w:rsid w:val="00314698"/>
    <w:rsid w:val="00315106"/>
    <w:rsid w:val="00316AE0"/>
    <w:rsid w:val="00316B7A"/>
    <w:rsid w:val="0032042D"/>
    <w:rsid w:val="0032094D"/>
    <w:rsid w:val="00320B7D"/>
    <w:rsid w:val="00321A01"/>
    <w:rsid w:val="00322226"/>
    <w:rsid w:val="003238A0"/>
    <w:rsid w:val="00323B8F"/>
    <w:rsid w:val="003251EE"/>
    <w:rsid w:val="003270D3"/>
    <w:rsid w:val="003278A9"/>
    <w:rsid w:val="003311E1"/>
    <w:rsid w:val="00332823"/>
    <w:rsid w:val="00334B65"/>
    <w:rsid w:val="00334BBC"/>
    <w:rsid w:val="0033657B"/>
    <w:rsid w:val="00344CD6"/>
    <w:rsid w:val="003454B2"/>
    <w:rsid w:val="00345C6D"/>
    <w:rsid w:val="003503B8"/>
    <w:rsid w:val="00350DC9"/>
    <w:rsid w:val="0035100D"/>
    <w:rsid w:val="003513D4"/>
    <w:rsid w:val="00351CAD"/>
    <w:rsid w:val="00352A7D"/>
    <w:rsid w:val="00354BD2"/>
    <w:rsid w:val="00355C89"/>
    <w:rsid w:val="00357759"/>
    <w:rsid w:val="00357ECA"/>
    <w:rsid w:val="003607B5"/>
    <w:rsid w:val="00360CEC"/>
    <w:rsid w:val="0036153F"/>
    <w:rsid w:val="003619B7"/>
    <w:rsid w:val="00362A34"/>
    <w:rsid w:val="00363612"/>
    <w:rsid w:val="003640CB"/>
    <w:rsid w:val="00364AA2"/>
    <w:rsid w:val="00365083"/>
    <w:rsid w:val="00365D4F"/>
    <w:rsid w:val="00366567"/>
    <w:rsid w:val="003665A4"/>
    <w:rsid w:val="00366A07"/>
    <w:rsid w:val="00366D61"/>
    <w:rsid w:val="00366F8D"/>
    <w:rsid w:val="0036705A"/>
    <w:rsid w:val="0037008F"/>
    <w:rsid w:val="003702DA"/>
    <w:rsid w:val="00371394"/>
    <w:rsid w:val="00371F62"/>
    <w:rsid w:val="0037328F"/>
    <w:rsid w:val="00373575"/>
    <w:rsid w:val="003735C9"/>
    <w:rsid w:val="003743E7"/>
    <w:rsid w:val="00374BB9"/>
    <w:rsid w:val="00376975"/>
    <w:rsid w:val="00376985"/>
    <w:rsid w:val="003777BD"/>
    <w:rsid w:val="00380D55"/>
    <w:rsid w:val="00382E0B"/>
    <w:rsid w:val="00383799"/>
    <w:rsid w:val="00383AB1"/>
    <w:rsid w:val="003841B5"/>
    <w:rsid w:val="0038451F"/>
    <w:rsid w:val="00384585"/>
    <w:rsid w:val="00384825"/>
    <w:rsid w:val="003849B6"/>
    <w:rsid w:val="00384A5E"/>
    <w:rsid w:val="003869B2"/>
    <w:rsid w:val="0038793B"/>
    <w:rsid w:val="00387ABF"/>
    <w:rsid w:val="0039048F"/>
    <w:rsid w:val="003913FC"/>
    <w:rsid w:val="00391E82"/>
    <w:rsid w:val="0039221D"/>
    <w:rsid w:val="00392CD2"/>
    <w:rsid w:val="003934BF"/>
    <w:rsid w:val="0039439C"/>
    <w:rsid w:val="00394481"/>
    <w:rsid w:val="00395D91"/>
    <w:rsid w:val="00395ED8"/>
    <w:rsid w:val="00397BB4"/>
    <w:rsid w:val="003A013A"/>
    <w:rsid w:val="003A0224"/>
    <w:rsid w:val="003A1552"/>
    <w:rsid w:val="003A1FA7"/>
    <w:rsid w:val="003A32DF"/>
    <w:rsid w:val="003A4488"/>
    <w:rsid w:val="003A4514"/>
    <w:rsid w:val="003A5806"/>
    <w:rsid w:val="003A618F"/>
    <w:rsid w:val="003A6252"/>
    <w:rsid w:val="003A74F6"/>
    <w:rsid w:val="003B04D8"/>
    <w:rsid w:val="003B2AA9"/>
    <w:rsid w:val="003B30CE"/>
    <w:rsid w:val="003B3763"/>
    <w:rsid w:val="003B405B"/>
    <w:rsid w:val="003B4768"/>
    <w:rsid w:val="003B5544"/>
    <w:rsid w:val="003B5D0D"/>
    <w:rsid w:val="003B6C78"/>
    <w:rsid w:val="003B6E1C"/>
    <w:rsid w:val="003B7ADB"/>
    <w:rsid w:val="003C331C"/>
    <w:rsid w:val="003C405F"/>
    <w:rsid w:val="003C64FD"/>
    <w:rsid w:val="003C6BA9"/>
    <w:rsid w:val="003C72F6"/>
    <w:rsid w:val="003C746D"/>
    <w:rsid w:val="003C7D09"/>
    <w:rsid w:val="003D1905"/>
    <w:rsid w:val="003D20BE"/>
    <w:rsid w:val="003D23E0"/>
    <w:rsid w:val="003D25C9"/>
    <w:rsid w:val="003D30D8"/>
    <w:rsid w:val="003D3E74"/>
    <w:rsid w:val="003D3EDA"/>
    <w:rsid w:val="003D44EC"/>
    <w:rsid w:val="003D492B"/>
    <w:rsid w:val="003D4C3D"/>
    <w:rsid w:val="003D5C9F"/>
    <w:rsid w:val="003D5FD6"/>
    <w:rsid w:val="003D64AC"/>
    <w:rsid w:val="003D65A3"/>
    <w:rsid w:val="003D7D4A"/>
    <w:rsid w:val="003E1221"/>
    <w:rsid w:val="003E172F"/>
    <w:rsid w:val="003E2399"/>
    <w:rsid w:val="003E2CFA"/>
    <w:rsid w:val="003E3687"/>
    <w:rsid w:val="003E36F5"/>
    <w:rsid w:val="003E3854"/>
    <w:rsid w:val="003E464F"/>
    <w:rsid w:val="003E4AA7"/>
    <w:rsid w:val="003E5E4D"/>
    <w:rsid w:val="003E71DA"/>
    <w:rsid w:val="003E7869"/>
    <w:rsid w:val="003F0D83"/>
    <w:rsid w:val="003F1B6F"/>
    <w:rsid w:val="003F1BC7"/>
    <w:rsid w:val="003F26AC"/>
    <w:rsid w:val="003F360E"/>
    <w:rsid w:val="003F585A"/>
    <w:rsid w:val="003F5D7B"/>
    <w:rsid w:val="003F6059"/>
    <w:rsid w:val="003F6C57"/>
    <w:rsid w:val="004015C5"/>
    <w:rsid w:val="004018C3"/>
    <w:rsid w:val="00401A74"/>
    <w:rsid w:val="00401F08"/>
    <w:rsid w:val="004023C9"/>
    <w:rsid w:val="0040289C"/>
    <w:rsid w:val="00402DB7"/>
    <w:rsid w:val="004034AF"/>
    <w:rsid w:val="00403C25"/>
    <w:rsid w:val="004046FB"/>
    <w:rsid w:val="004049CE"/>
    <w:rsid w:val="004054AA"/>
    <w:rsid w:val="0040691E"/>
    <w:rsid w:val="00406A44"/>
    <w:rsid w:val="00406A90"/>
    <w:rsid w:val="00407AB3"/>
    <w:rsid w:val="00411A64"/>
    <w:rsid w:val="00412341"/>
    <w:rsid w:val="00416976"/>
    <w:rsid w:val="00416FFE"/>
    <w:rsid w:val="00417FFD"/>
    <w:rsid w:val="00421178"/>
    <w:rsid w:val="00423A8D"/>
    <w:rsid w:val="00424147"/>
    <w:rsid w:val="0042470A"/>
    <w:rsid w:val="00424B1A"/>
    <w:rsid w:val="00424CA5"/>
    <w:rsid w:val="00425036"/>
    <w:rsid w:val="00425B9E"/>
    <w:rsid w:val="00426262"/>
    <w:rsid w:val="004269E4"/>
    <w:rsid w:val="00426D70"/>
    <w:rsid w:val="0043115E"/>
    <w:rsid w:val="00431899"/>
    <w:rsid w:val="0043257C"/>
    <w:rsid w:val="00432907"/>
    <w:rsid w:val="00432E04"/>
    <w:rsid w:val="0043397E"/>
    <w:rsid w:val="00434235"/>
    <w:rsid w:val="00434244"/>
    <w:rsid w:val="00436177"/>
    <w:rsid w:val="00437B2B"/>
    <w:rsid w:val="004410F1"/>
    <w:rsid w:val="0044191F"/>
    <w:rsid w:val="0044336D"/>
    <w:rsid w:val="004433DC"/>
    <w:rsid w:val="00443955"/>
    <w:rsid w:val="00444EB6"/>
    <w:rsid w:val="00445D10"/>
    <w:rsid w:val="00447080"/>
    <w:rsid w:val="0044758A"/>
    <w:rsid w:val="0044772E"/>
    <w:rsid w:val="004478B1"/>
    <w:rsid w:val="00451314"/>
    <w:rsid w:val="00452175"/>
    <w:rsid w:val="004529F3"/>
    <w:rsid w:val="0045368C"/>
    <w:rsid w:val="00454B4C"/>
    <w:rsid w:val="00455411"/>
    <w:rsid w:val="0045573E"/>
    <w:rsid w:val="00456DFE"/>
    <w:rsid w:val="0045743D"/>
    <w:rsid w:val="004575E1"/>
    <w:rsid w:val="004607F5"/>
    <w:rsid w:val="004613FA"/>
    <w:rsid w:val="0046194A"/>
    <w:rsid w:val="00462087"/>
    <w:rsid w:val="00462BEA"/>
    <w:rsid w:val="004649FC"/>
    <w:rsid w:val="00465FEB"/>
    <w:rsid w:val="004677D7"/>
    <w:rsid w:val="00467BC6"/>
    <w:rsid w:val="0047036F"/>
    <w:rsid w:val="00472417"/>
    <w:rsid w:val="0047245C"/>
    <w:rsid w:val="00473062"/>
    <w:rsid w:val="004732D6"/>
    <w:rsid w:val="004758A1"/>
    <w:rsid w:val="00475924"/>
    <w:rsid w:val="00475A98"/>
    <w:rsid w:val="00475D1C"/>
    <w:rsid w:val="004762F0"/>
    <w:rsid w:val="0047637D"/>
    <w:rsid w:val="00476E21"/>
    <w:rsid w:val="00480163"/>
    <w:rsid w:val="004808F8"/>
    <w:rsid w:val="00481898"/>
    <w:rsid w:val="00481A76"/>
    <w:rsid w:val="004823FA"/>
    <w:rsid w:val="00482EF3"/>
    <w:rsid w:val="004830BE"/>
    <w:rsid w:val="00483396"/>
    <w:rsid w:val="00486E04"/>
    <w:rsid w:val="00486E5A"/>
    <w:rsid w:val="00487A56"/>
    <w:rsid w:val="00487B93"/>
    <w:rsid w:val="00490D2F"/>
    <w:rsid w:val="00493D01"/>
    <w:rsid w:val="0049417F"/>
    <w:rsid w:val="0049680C"/>
    <w:rsid w:val="0049706D"/>
    <w:rsid w:val="00497A1D"/>
    <w:rsid w:val="004A3224"/>
    <w:rsid w:val="004A3BEA"/>
    <w:rsid w:val="004A40C1"/>
    <w:rsid w:val="004A594A"/>
    <w:rsid w:val="004A6E99"/>
    <w:rsid w:val="004B0B5A"/>
    <w:rsid w:val="004B1498"/>
    <w:rsid w:val="004B1DC1"/>
    <w:rsid w:val="004B21C6"/>
    <w:rsid w:val="004B2622"/>
    <w:rsid w:val="004B308F"/>
    <w:rsid w:val="004B3459"/>
    <w:rsid w:val="004B6E36"/>
    <w:rsid w:val="004B78EB"/>
    <w:rsid w:val="004B7D78"/>
    <w:rsid w:val="004C0A94"/>
    <w:rsid w:val="004C10C5"/>
    <w:rsid w:val="004C1E7A"/>
    <w:rsid w:val="004C3688"/>
    <w:rsid w:val="004C419C"/>
    <w:rsid w:val="004C58AF"/>
    <w:rsid w:val="004C591E"/>
    <w:rsid w:val="004C6C69"/>
    <w:rsid w:val="004C71F5"/>
    <w:rsid w:val="004C728A"/>
    <w:rsid w:val="004C73B5"/>
    <w:rsid w:val="004C7E6C"/>
    <w:rsid w:val="004D0373"/>
    <w:rsid w:val="004D0CEE"/>
    <w:rsid w:val="004D1734"/>
    <w:rsid w:val="004D19D1"/>
    <w:rsid w:val="004D2050"/>
    <w:rsid w:val="004D2335"/>
    <w:rsid w:val="004D314A"/>
    <w:rsid w:val="004D3273"/>
    <w:rsid w:val="004D34D4"/>
    <w:rsid w:val="004D3584"/>
    <w:rsid w:val="004D3768"/>
    <w:rsid w:val="004D3D84"/>
    <w:rsid w:val="004D3DE3"/>
    <w:rsid w:val="004D4803"/>
    <w:rsid w:val="004D518F"/>
    <w:rsid w:val="004D5806"/>
    <w:rsid w:val="004D69FF"/>
    <w:rsid w:val="004D6E2F"/>
    <w:rsid w:val="004D7E7C"/>
    <w:rsid w:val="004D7FE9"/>
    <w:rsid w:val="004E0320"/>
    <w:rsid w:val="004E1051"/>
    <w:rsid w:val="004E1BDE"/>
    <w:rsid w:val="004E1EEB"/>
    <w:rsid w:val="004E2C60"/>
    <w:rsid w:val="004E4246"/>
    <w:rsid w:val="004E42E4"/>
    <w:rsid w:val="004E51F1"/>
    <w:rsid w:val="004E5539"/>
    <w:rsid w:val="004E6C72"/>
    <w:rsid w:val="004E7E36"/>
    <w:rsid w:val="004F1594"/>
    <w:rsid w:val="004F1D1F"/>
    <w:rsid w:val="004F1FF0"/>
    <w:rsid w:val="004F2BCF"/>
    <w:rsid w:val="004F2C88"/>
    <w:rsid w:val="004F32A0"/>
    <w:rsid w:val="004F5D83"/>
    <w:rsid w:val="004F620E"/>
    <w:rsid w:val="004F6322"/>
    <w:rsid w:val="004F7222"/>
    <w:rsid w:val="004F77C2"/>
    <w:rsid w:val="004F7C63"/>
    <w:rsid w:val="00500397"/>
    <w:rsid w:val="00502CEC"/>
    <w:rsid w:val="00505587"/>
    <w:rsid w:val="00505F60"/>
    <w:rsid w:val="00506561"/>
    <w:rsid w:val="00506BB9"/>
    <w:rsid w:val="00507125"/>
    <w:rsid w:val="00510CA1"/>
    <w:rsid w:val="00510F0B"/>
    <w:rsid w:val="00511FDD"/>
    <w:rsid w:val="00512099"/>
    <w:rsid w:val="0051254A"/>
    <w:rsid w:val="005132B4"/>
    <w:rsid w:val="005202E5"/>
    <w:rsid w:val="0052153F"/>
    <w:rsid w:val="00521588"/>
    <w:rsid w:val="00521CC1"/>
    <w:rsid w:val="00522425"/>
    <w:rsid w:val="00523C3C"/>
    <w:rsid w:val="00524263"/>
    <w:rsid w:val="00525333"/>
    <w:rsid w:val="00525A95"/>
    <w:rsid w:val="00530C1E"/>
    <w:rsid w:val="00530D5E"/>
    <w:rsid w:val="00531117"/>
    <w:rsid w:val="005330B6"/>
    <w:rsid w:val="0053337F"/>
    <w:rsid w:val="005339BA"/>
    <w:rsid w:val="0053632F"/>
    <w:rsid w:val="00537A2B"/>
    <w:rsid w:val="00537C3C"/>
    <w:rsid w:val="00540DCD"/>
    <w:rsid w:val="0054110C"/>
    <w:rsid w:val="00541D68"/>
    <w:rsid w:val="00541EDB"/>
    <w:rsid w:val="005421C5"/>
    <w:rsid w:val="00544EEE"/>
    <w:rsid w:val="0054533A"/>
    <w:rsid w:val="00545897"/>
    <w:rsid w:val="00546503"/>
    <w:rsid w:val="00547064"/>
    <w:rsid w:val="0054714D"/>
    <w:rsid w:val="00547375"/>
    <w:rsid w:val="00547C0A"/>
    <w:rsid w:val="005500F8"/>
    <w:rsid w:val="005507F4"/>
    <w:rsid w:val="00550F9D"/>
    <w:rsid w:val="00551633"/>
    <w:rsid w:val="00551759"/>
    <w:rsid w:val="00551A6E"/>
    <w:rsid w:val="00552B33"/>
    <w:rsid w:val="00552F9C"/>
    <w:rsid w:val="00553688"/>
    <w:rsid w:val="005547E7"/>
    <w:rsid w:val="00554CB0"/>
    <w:rsid w:val="00557862"/>
    <w:rsid w:val="00557959"/>
    <w:rsid w:val="0056082F"/>
    <w:rsid w:val="005614C1"/>
    <w:rsid w:val="00561A0B"/>
    <w:rsid w:val="00563993"/>
    <w:rsid w:val="0056454B"/>
    <w:rsid w:val="00565431"/>
    <w:rsid w:val="0056596E"/>
    <w:rsid w:val="005668B4"/>
    <w:rsid w:val="00567F44"/>
    <w:rsid w:val="005701FD"/>
    <w:rsid w:val="0057040F"/>
    <w:rsid w:val="00570F19"/>
    <w:rsid w:val="00571047"/>
    <w:rsid w:val="005719FC"/>
    <w:rsid w:val="0057281B"/>
    <w:rsid w:val="00573319"/>
    <w:rsid w:val="00573387"/>
    <w:rsid w:val="005733E2"/>
    <w:rsid w:val="0057428D"/>
    <w:rsid w:val="005743F6"/>
    <w:rsid w:val="0057523F"/>
    <w:rsid w:val="00575314"/>
    <w:rsid w:val="00575811"/>
    <w:rsid w:val="00576634"/>
    <w:rsid w:val="005770AC"/>
    <w:rsid w:val="005773B3"/>
    <w:rsid w:val="005808C3"/>
    <w:rsid w:val="00580A5D"/>
    <w:rsid w:val="0058129F"/>
    <w:rsid w:val="005815A8"/>
    <w:rsid w:val="00581AC3"/>
    <w:rsid w:val="00581E78"/>
    <w:rsid w:val="00582262"/>
    <w:rsid w:val="0058230A"/>
    <w:rsid w:val="00582C6B"/>
    <w:rsid w:val="00582E5C"/>
    <w:rsid w:val="00583508"/>
    <w:rsid w:val="005847C7"/>
    <w:rsid w:val="00584A4F"/>
    <w:rsid w:val="00584DC0"/>
    <w:rsid w:val="00585B56"/>
    <w:rsid w:val="005868DD"/>
    <w:rsid w:val="00586E87"/>
    <w:rsid w:val="005873A6"/>
    <w:rsid w:val="00590A91"/>
    <w:rsid w:val="00590E91"/>
    <w:rsid w:val="00591DB0"/>
    <w:rsid w:val="00591E0C"/>
    <w:rsid w:val="00592191"/>
    <w:rsid w:val="00592F80"/>
    <w:rsid w:val="005944E5"/>
    <w:rsid w:val="00594616"/>
    <w:rsid w:val="00594C02"/>
    <w:rsid w:val="00594C62"/>
    <w:rsid w:val="0059595D"/>
    <w:rsid w:val="00595C15"/>
    <w:rsid w:val="005960C4"/>
    <w:rsid w:val="00596363"/>
    <w:rsid w:val="00596C4D"/>
    <w:rsid w:val="0059707A"/>
    <w:rsid w:val="005A1012"/>
    <w:rsid w:val="005A18BD"/>
    <w:rsid w:val="005A1C70"/>
    <w:rsid w:val="005A1FD2"/>
    <w:rsid w:val="005A266F"/>
    <w:rsid w:val="005A3192"/>
    <w:rsid w:val="005A35BB"/>
    <w:rsid w:val="005A4414"/>
    <w:rsid w:val="005A46AD"/>
    <w:rsid w:val="005A526A"/>
    <w:rsid w:val="005A5B1D"/>
    <w:rsid w:val="005A616E"/>
    <w:rsid w:val="005A6D5C"/>
    <w:rsid w:val="005A7622"/>
    <w:rsid w:val="005B0B23"/>
    <w:rsid w:val="005B3AA1"/>
    <w:rsid w:val="005B3F42"/>
    <w:rsid w:val="005B582F"/>
    <w:rsid w:val="005B6037"/>
    <w:rsid w:val="005B6151"/>
    <w:rsid w:val="005B69D4"/>
    <w:rsid w:val="005B6D72"/>
    <w:rsid w:val="005B704E"/>
    <w:rsid w:val="005C0CA5"/>
    <w:rsid w:val="005C1D95"/>
    <w:rsid w:val="005C29C5"/>
    <w:rsid w:val="005C4CC6"/>
    <w:rsid w:val="005C5D61"/>
    <w:rsid w:val="005C5E73"/>
    <w:rsid w:val="005C66C7"/>
    <w:rsid w:val="005C6D54"/>
    <w:rsid w:val="005C796C"/>
    <w:rsid w:val="005D116D"/>
    <w:rsid w:val="005D3B9B"/>
    <w:rsid w:val="005D3ED6"/>
    <w:rsid w:val="005D4480"/>
    <w:rsid w:val="005D4D81"/>
    <w:rsid w:val="005D58D8"/>
    <w:rsid w:val="005D5F89"/>
    <w:rsid w:val="005D60EB"/>
    <w:rsid w:val="005D72AF"/>
    <w:rsid w:val="005E038B"/>
    <w:rsid w:val="005E0434"/>
    <w:rsid w:val="005E0C4C"/>
    <w:rsid w:val="005E180F"/>
    <w:rsid w:val="005E1E77"/>
    <w:rsid w:val="005E284A"/>
    <w:rsid w:val="005E40FA"/>
    <w:rsid w:val="005E49AD"/>
    <w:rsid w:val="005E5619"/>
    <w:rsid w:val="005E649E"/>
    <w:rsid w:val="005E6998"/>
    <w:rsid w:val="005F1453"/>
    <w:rsid w:val="005F167F"/>
    <w:rsid w:val="005F1B01"/>
    <w:rsid w:val="005F254E"/>
    <w:rsid w:val="005F4615"/>
    <w:rsid w:val="005F53B6"/>
    <w:rsid w:val="005F75C3"/>
    <w:rsid w:val="005F7E2E"/>
    <w:rsid w:val="006002A8"/>
    <w:rsid w:val="00603E94"/>
    <w:rsid w:val="00604C82"/>
    <w:rsid w:val="00605860"/>
    <w:rsid w:val="006058E3"/>
    <w:rsid w:val="00606A8A"/>
    <w:rsid w:val="00606BF5"/>
    <w:rsid w:val="00607C8B"/>
    <w:rsid w:val="00611600"/>
    <w:rsid w:val="00611DDB"/>
    <w:rsid w:val="006124C3"/>
    <w:rsid w:val="00612939"/>
    <w:rsid w:val="00612B66"/>
    <w:rsid w:val="006131B6"/>
    <w:rsid w:val="00613F54"/>
    <w:rsid w:val="006152F3"/>
    <w:rsid w:val="006155E6"/>
    <w:rsid w:val="0061571B"/>
    <w:rsid w:val="00615978"/>
    <w:rsid w:val="00615EED"/>
    <w:rsid w:val="006160F8"/>
    <w:rsid w:val="0061614F"/>
    <w:rsid w:val="00620114"/>
    <w:rsid w:val="0062070A"/>
    <w:rsid w:val="00621166"/>
    <w:rsid w:val="00623175"/>
    <w:rsid w:val="006234B9"/>
    <w:rsid w:val="006249EA"/>
    <w:rsid w:val="00624DB7"/>
    <w:rsid w:val="006261C6"/>
    <w:rsid w:val="00626DB6"/>
    <w:rsid w:val="00627A55"/>
    <w:rsid w:val="00630407"/>
    <w:rsid w:val="00630589"/>
    <w:rsid w:val="00630ADF"/>
    <w:rsid w:val="00630D52"/>
    <w:rsid w:val="0063113F"/>
    <w:rsid w:val="00631196"/>
    <w:rsid w:val="00631B9D"/>
    <w:rsid w:val="00632605"/>
    <w:rsid w:val="00635794"/>
    <w:rsid w:val="0064268A"/>
    <w:rsid w:val="006429E3"/>
    <w:rsid w:val="00643AEF"/>
    <w:rsid w:val="00645535"/>
    <w:rsid w:val="00645554"/>
    <w:rsid w:val="00645F74"/>
    <w:rsid w:val="00645F99"/>
    <w:rsid w:val="00647BEE"/>
    <w:rsid w:val="00647D03"/>
    <w:rsid w:val="006517F5"/>
    <w:rsid w:val="00652989"/>
    <w:rsid w:val="00652AB0"/>
    <w:rsid w:val="006537AC"/>
    <w:rsid w:val="00654207"/>
    <w:rsid w:val="00656290"/>
    <w:rsid w:val="006567B2"/>
    <w:rsid w:val="00656E6B"/>
    <w:rsid w:val="0065736D"/>
    <w:rsid w:val="006574FB"/>
    <w:rsid w:val="006576D6"/>
    <w:rsid w:val="00657BDF"/>
    <w:rsid w:val="00657FEC"/>
    <w:rsid w:val="00661B89"/>
    <w:rsid w:val="00662177"/>
    <w:rsid w:val="00662209"/>
    <w:rsid w:val="00663DE6"/>
    <w:rsid w:val="00664C3F"/>
    <w:rsid w:val="0066556E"/>
    <w:rsid w:val="0066622F"/>
    <w:rsid w:val="00667FD9"/>
    <w:rsid w:val="0067018A"/>
    <w:rsid w:val="0067044A"/>
    <w:rsid w:val="00672158"/>
    <w:rsid w:val="00674078"/>
    <w:rsid w:val="0067495B"/>
    <w:rsid w:val="0067495E"/>
    <w:rsid w:val="00675F07"/>
    <w:rsid w:val="0067733A"/>
    <w:rsid w:val="006801BB"/>
    <w:rsid w:val="00681ABE"/>
    <w:rsid w:val="00681C51"/>
    <w:rsid w:val="00681F16"/>
    <w:rsid w:val="006824AF"/>
    <w:rsid w:val="00682B1F"/>
    <w:rsid w:val="0068488F"/>
    <w:rsid w:val="00685FDA"/>
    <w:rsid w:val="006861B3"/>
    <w:rsid w:val="006879EC"/>
    <w:rsid w:val="00687D6E"/>
    <w:rsid w:val="006905A8"/>
    <w:rsid w:val="0069276C"/>
    <w:rsid w:val="00692E30"/>
    <w:rsid w:val="006934F2"/>
    <w:rsid w:val="006942E1"/>
    <w:rsid w:val="0069557B"/>
    <w:rsid w:val="006959CA"/>
    <w:rsid w:val="00695A9D"/>
    <w:rsid w:val="006978F3"/>
    <w:rsid w:val="00697926"/>
    <w:rsid w:val="00697DF9"/>
    <w:rsid w:val="006A0137"/>
    <w:rsid w:val="006A3176"/>
    <w:rsid w:val="006A3D07"/>
    <w:rsid w:val="006A3F06"/>
    <w:rsid w:val="006A4344"/>
    <w:rsid w:val="006A434C"/>
    <w:rsid w:val="006A43F7"/>
    <w:rsid w:val="006A46F1"/>
    <w:rsid w:val="006A4B38"/>
    <w:rsid w:val="006A4E80"/>
    <w:rsid w:val="006A5878"/>
    <w:rsid w:val="006A59FB"/>
    <w:rsid w:val="006A5BBF"/>
    <w:rsid w:val="006A5FE4"/>
    <w:rsid w:val="006A6EBF"/>
    <w:rsid w:val="006A78E7"/>
    <w:rsid w:val="006A7999"/>
    <w:rsid w:val="006B0172"/>
    <w:rsid w:val="006B0197"/>
    <w:rsid w:val="006B1093"/>
    <w:rsid w:val="006B11E1"/>
    <w:rsid w:val="006B22BB"/>
    <w:rsid w:val="006B4D1D"/>
    <w:rsid w:val="006B4E42"/>
    <w:rsid w:val="006B52BA"/>
    <w:rsid w:val="006B58AA"/>
    <w:rsid w:val="006B5D0A"/>
    <w:rsid w:val="006B5D91"/>
    <w:rsid w:val="006B6575"/>
    <w:rsid w:val="006B65A8"/>
    <w:rsid w:val="006B7390"/>
    <w:rsid w:val="006B73C1"/>
    <w:rsid w:val="006C0A69"/>
    <w:rsid w:val="006C1087"/>
    <w:rsid w:val="006C12B1"/>
    <w:rsid w:val="006C12D0"/>
    <w:rsid w:val="006C27DF"/>
    <w:rsid w:val="006C2AD0"/>
    <w:rsid w:val="006C35CD"/>
    <w:rsid w:val="006C7249"/>
    <w:rsid w:val="006D0209"/>
    <w:rsid w:val="006D0723"/>
    <w:rsid w:val="006D076E"/>
    <w:rsid w:val="006D1A73"/>
    <w:rsid w:val="006D2234"/>
    <w:rsid w:val="006D2687"/>
    <w:rsid w:val="006D273C"/>
    <w:rsid w:val="006D2B8B"/>
    <w:rsid w:val="006D377B"/>
    <w:rsid w:val="006D3AE7"/>
    <w:rsid w:val="006D6A90"/>
    <w:rsid w:val="006D732C"/>
    <w:rsid w:val="006D773B"/>
    <w:rsid w:val="006E057B"/>
    <w:rsid w:val="006E0EF6"/>
    <w:rsid w:val="006E1A57"/>
    <w:rsid w:val="006E2152"/>
    <w:rsid w:val="006E2836"/>
    <w:rsid w:val="006E2D56"/>
    <w:rsid w:val="006E37B2"/>
    <w:rsid w:val="006E3E83"/>
    <w:rsid w:val="006E41E5"/>
    <w:rsid w:val="006E6036"/>
    <w:rsid w:val="006E652B"/>
    <w:rsid w:val="006E7713"/>
    <w:rsid w:val="006E787B"/>
    <w:rsid w:val="006F0C5E"/>
    <w:rsid w:val="006F3AB7"/>
    <w:rsid w:val="006F4593"/>
    <w:rsid w:val="006F4B64"/>
    <w:rsid w:val="006F5112"/>
    <w:rsid w:val="006F7182"/>
    <w:rsid w:val="006F74EC"/>
    <w:rsid w:val="006F7656"/>
    <w:rsid w:val="006F7C15"/>
    <w:rsid w:val="00701CE6"/>
    <w:rsid w:val="00703228"/>
    <w:rsid w:val="00704179"/>
    <w:rsid w:val="00704C67"/>
    <w:rsid w:val="00704E24"/>
    <w:rsid w:val="00705BC0"/>
    <w:rsid w:val="007069DE"/>
    <w:rsid w:val="00706C98"/>
    <w:rsid w:val="00706E8C"/>
    <w:rsid w:val="00707010"/>
    <w:rsid w:val="00707510"/>
    <w:rsid w:val="0071069C"/>
    <w:rsid w:val="00710BBA"/>
    <w:rsid w:val="00711912"/>
    <w:rsid w:val="007120A3"/>
    <w:rsid w:val="007121F8"/>
    <w:rsid w:val="00713043"/>
    <w:rsid w:val="00713323"/>
    <w:rsid w:val="00713745"/>
    <w:rsid w:val="00714509"/>
    <w:rsid w:val="007146AE"/>
    <w:rsid w:val="00715290"/>
    <w:rsid w:val="00715BF5"/>
    <w:rsid w:val="007165BC"/>
    <w:rsid w:val="007173C5"/>
    <w:rsid w:val="007201A6"/>
    <w:rsid w:val="007208C5"/>
    <w:rsid w:val="00721135"/>
    <w:rsid w:val="00721255"/>
    <w:rsid w:val="00721EA0"/>
    <w:rsid w:val="0072289B"/>
    <w:rsid w:val="00723355"/>
    <w:rsid w:val="0072352A"/>
    <w:rsid w:val="00723683"/>
    <w:rsid w:val="00724A48"/>
    <w:rsid w:val="00725650"/>
    <w:rsid w:val="00725B08"/>
    <w:rsid w:val="0072641B"/>
    <w:rsid w:val="007274BE"/>
    <w:rsid w:val="00730471"/>
    <w:rsid w:val="00730F63"/>
    <w:rsid w:val="0073112F"/>
    <w:rsid w:val="0073121F"/>
    <w:rsid w:val="0073122D"/>
    <w:rsid w:val="0073243A"/>
    <w:rsid w:val="00732879"/>
    <w:rsid w:val="007330BF"/>
    <w:rsid w:val="00733111"/>
    <w:rsid w:val="007332DF"/>
    <w:rsid w:val="0073424A"/>
    <w:rsid w:val="0073602F"/>
    <w:rsid w:val="007376DB"/>
    <w:rsid w:val="00741FF8"/>
    <w:rsid w:val="00742739"/>
    <w:rsid w:val="00743B16"/>
    <w:rsid w:val="00744CE2"/>
    <w:rsid w:val="00745992"/>
    <w:rsid w:val="00745D04"/>
    <w:rsid w:val="00745EE2"/>
    <w:rsid w:val="00745F0A"/>
    <w:rsid w:val="00745F55"/>
    <w:rsid w:val="0074704D"/>
    <w:rsid w:val="00750F7E"/>
    <w:rsid w:val="007522BC"/>
    <w:rsid w:val="007533C6"/>
    <w:rsid w:val="007537B8"/>
    <w:rsid w:val="007549AB"/>
    <w:rsid w:val="007576C0"/>
    <w:rsid w:val="00757AAD"/>
    <w:rsid w:val="00757C5F"/>
    <w:rsid w:val="00757CE9"/>
    <w:rsid w:val="00757CF3"/>
    <w:rsid w:val="00757E26"/>
    <w:rsid w:val="007605C1"/>
    <w:rsid w:val="00761847"/>
    <w:rsid w:val="007643EE"/>
    <w:rsid w:val="00767095"/>
    <w:rsid w:val="00767340"/>
    <w:rsid w:val="00767C45"/>
    <w:rsid w:val="00770444"/>
    <w:rsid w:val="007704A2"/>
    <w:rsid w:val="00770706"/>
    <w:rsid w:val="00770F49"/>
    <w:rsid w:val="0077157D"/>
    <w:rsid w:val="007715DB"/>
    <w:rsid w:val="00772082"/>
    <w:rsid w:val="007721FF"/>
    <w:rsid w:val="0077297A"/>
    <w:rsid w:val="00773180"/>
    <w:rsid w:val="007734DF"/>
    <w:rsid w:val="007744EC"/>
    <w:rsid w:val="00774BF1"/>
    <w:rsid w:val="00774EE6"/>
    <w:rsid w:val="0077601A"/>
    <w:rsid w:val="00776271"/>
    <w:rsid w:val="007768B5"/>
    <w:rsid w:val="00777C1C"/>
    <w:rsid w:val="00777F2E"/>
    <w:rsid w:val="0078174E"/>
    <w:rsid w:val="0078315F"/>
    <w:rsid w:val="00783AFB"/>
    <w:rsid w:val="00783F62"/>
    <w:rsid w:val="00785413"/>
    <w:rsid w:val="0078681A"/>
    <w:rsid w:val="00790155"/>
    <w:rsid w:val="00790BC8"/>
    <w:rsid w:val="00790E9B"/>
    <w:rsid w:val="007912AE"/>
    <w:rsid w:val="00791EF0"/>
    <w:rsid w:val="00791F49"/>
    <w:rsid w:val="0079313A"/>
    <w:rsid w:val="00793DB2"/>
    <w:rsid w:val="0079576E"/>
    <w:rsid w:val="00796708"/>
    <w:rsid w:val="00796FB4"/>
    <w:rsid w:val="0079711C"/>
    <w:rsid w:val="0079734B"/>
    <w:rsid w:val="007A0DD3"/>
    <w:rsid w:val="007A3E0F"/>
    <w:rsid w:val="007A449A"/>
    <w:rsid w:val="007A59FE"/>
    <w:rsid w:val="007A65C3"/>
    <w:rsid w:val="007A7975"/>
    <w:rsid w:val="007B0549"/>
    <w:rsid w:val="007B2644"/>
    <w:rsid w:val="007B551C"/>
    <w:rsid w:val="007B5689"/>
    <w:rsid w:val="007B6A6C"/>
    <w:rsid w:val="007B7B6F"/>
    <w:rsid w:val="007C115C"/>
    <w:rsid w:val="007C1636"/>
    <w:rsid w:val="007C16DA"/>
    <w:rsid w:val="007C1734"/>
    <w:rsid w:val="007C4356"/>
    <w:rsid w:val="007C5374"/>
    <w:rsid w:val="007C66F4"/>
    <w:rsid w:val="007C776C"/>
    <w:rsid w:val="007C7A1D"/>
    <w:rsid w:val="007D1481"/>
    <w:rsid w:val="007D14B2"/>
    <w:rsid w:val="007D1C42"/>
    <w:rsid w:val="007D1C61"/>
    <w:rsid w:val="007D2629"/>
    <w:rsid w:val="007D2818"/>
    <w:rsid w:val="007D3906"/>
    <w:rsid w:val="007D3FB8"/>
    <w:rsid w:val="007D6780"/>
    <w:rsid w:val="007D7B05"/>
    <w:rsid w:val="007E0A4B"/>
    <w:rsid w:val="007E1A88"/>
    <w:rsid w:val="007E1DC0"/>
    <w:rsid w:val="007E366D"/>
    <w:rsid w:val="007E5150"/>
    <w:rsid w:val="007E56A4"/>
    <w:rsid w:val="007E58B9"/>
    <w:rsid w:val="007E638D"/>
    <w:rsid w:val="007E6653"/>
    <w:rsid w:val="007E6A66"/>
    <w:rsid w:val="007E6BF8"/>
    <w:rsid w:val="007E7512"/>
    <w:rsid w:val="007E77E1"/>
    <w:rsid w:val="007F018D"/>
    <w:rsid w:val="007F15E6"/>
    <w:rsid w:val="007F1B3D"/>
    <w:rsid w:val="007F24D6"/>
    <w:rsid w:val="007F255D"/>
    <w:rsid w:val="007F2E07"/>
    <w:rsid w:val="007F3599"/>
    <w:rsid w:val="007F42A2"/>
    <w:rsid w:val="007F546D"/>
    <w:rsid w:val="007F5F45"/>
    <w:rsid w:val="007F707C"/>
    <w:rsid w:val="007F718F"/>
    <w:rsid w:val="007F794C"/>
    <w:rsid w:val="007F7977"/>
    <w:rsid w:val="007F7C79"/>
    <w:rsid w:val="007F7E0B"/>
    <w:rsid w:val="008000EC"/>
    <w:rsid w:val="00801696"/>
    <w:rsid w:val="00801F9B"/>
    <w:rsid w:val="00802B29"/>
    <w:rsid w:val="00802B78"/>
    <w:rsid w:val="008036AA"/>
    <w:rsid w:val="00805286"/>
    <w:rsid w:val="00805E4A"/>
    <w:rsid w:val="0080774D"/>
    <w:rsid w:val="00811EDF"/>
    <w:rsid w:val="008121CF"/>
    <w:rsid w:val="00812F44"/>
    <w:rsid w:val="00813818"/>
    <w:rsid w:val="00814C10"/>
    <w:rsid w:val="00817B51"/>
    <w:rsid w:val="008204B8"/>
    <w:rsid w:val="00821073"/>
    <w:rsid w:val="008220AA"/>
    <w:rsid w:val="008237CC"/>
    <w:rsid w:val="008241C0"/>
    <w:rsid w:val="008270B9"/>
    <w:rsid w:val="0083012F"/>
    <w:rsid w:val="00834D74"/>
    <w:rsid w:val="0083678D"/>
    <w:rsid w:val="00836ED8"/>
    <w:rsid w:val="00837D4F"/>
    <w:rsid w:val="00837D9A"/>
    <w:rsid w:val="008403D6"/>
    <w:rsid w:val="008403DD"/>
    <w:rsid w:val="0084043B"/>
    <w:rsid w:val="008413AC"/>
    <w:rsid w:val="00841EDD"/>
    <w:rsid w:val="00844BA8"/>
    <w:rsid w:val="008457A5"/>
    <w:rsid w:val="0084796F"/>
    <w:rsid w:val="00850CCB"/>
    <w:rsid w:val="008512F6"/>
    <w:rsid w:val="00851C2C"/>
    <w:rsid w:val="00852550"/>
    <w:rsid w:val="008530BF"/>
    <w:rsid w:val="00854047"/>
    <w:rsid w:val="00854AD1"/>
    <w:rsid w:val="00855624"/>
    <w:rsid w:val="00856A7E"/>
    <w:rsid w:val="00856B7B"/>
    <w:rsid w:val="00856C6F"/>
    <w:rsid w:val="00857DE0"/>
    <w:rsid w:val="00861629"/>
    <w:rsid w:val="00861FB3"/>
    <w:rsid w:val="0086276A"/>
    <w:rsid w:val="0086321A"/>
    <w:rsid w:val="008637AF"/>
    <w:rsid w:val="0086391E"/>
    <w:rsid w:val="00863C89"/>
    <w:rsid w:val="008650BD"/>
    <w:rsid w:val="0086547E"/>
    <w:rsid w:val="008663ED"/>
    <w:rsid w:val="00866BCB"/>
    <w:rsid w:val="00867852"/>
    <w:rsid w:val="00867B90"/>
    <w:rsid w:val="00871171"/>
    <w:rsid w:val="00872DDE"/>
    <w:rsid w:val="00872DE1"/>
    <w:rsid w:val="0087315B"/>
    <w:rsid w:val="0087420C"/>
    <w:rsid w:val="0087523C"/>
    <w:rsid w:val="008752CB"/>
    <w:rsid w:val="008758C5"/>
    <w:rsid w:val="00877821"/>
    <w:rsid w:val="00880F7D"/>
    <w:rsid w:val="00881436"/>
    <w:rsid w:val="00882426"/>
    <w:rsid w:val="00884C74"/>
    <w:rsid w:val="0088504A"/>
    <w:rsid w:val="008850D6"/>
    <w:rsid w:val="00887761"/>
    <w:rsid w:val="0089105F"/>
    <w:rsid w:val="008912A1"/>
    <w:rsid w:val="008921A5"/>
    <w:rsid w:val="00893694"/>
    <w:rsid w:val="008940C2"/>
    <w:rsid w:val="008951BB"/>
    <w:rsid w:val="00897DAF"/>
    <w:rsid w:val="00897F52"/>
    <w:rsid w:val="008A145C"/>
    <w:rsid w:val="008A157F"/>
    <w:rsid w:val="008A206B"/>
    <w:rsid w:val="008A3942"/>
    <w:rsid w:val="008A3AFF"/>
    <w:rsid w:val="008A3FBD"/>
    <w:rsid w:val="008A61FA"/>
    <w:rsid w:val="008A6425"/>
    <w:rsid w:val="008A68DB"/>
    <w:rsid w:val="008A71D6"/>
    <w:rsid w:val="008A77D9"/>
    <w:rsid w:val="008A7C42"/>
    <w:rsid w:val="008B0B23"/>
    <w:rsid w:val="008B0D9A"/>
    <w:rsid w:val="008B10FC"/>
    <w:rsid w:val="008B11B7"/>
    <w:rsid w:val="008B1526"/>
    <w:rsid w:val="008B2A9B"/>
    <w:rsid w:val="008B2CD9"/>
    <w:rsid w:val="008B34B5"/>
    <w:rsid w:val="008B39CF"/>
    <w:rsid w:val="008B3B7B"/>
    <w:rsid w:val="008B3CF8"/>
    <w:rsid w:val="008B4582"/>
    <w:rsid w:val="008B5B80"/>
    <w:rsid w:val="008B5CCA"/>
    <w:rsid w:val="008B6C80"/>
    <w:rsid w:val="008B7142"/>
    <w:rsid w:val="008B71F5"/>
    <w:rsid w:val="008B7BB0"/>
    <w:rsid w:val="008C07D3"/>
    <w:rsid w:val="008C095A"/>
    <w:rsid w:val="008C0E93"/>
    <w:rsid w:val="008C30AC"/>
    <w:rsid w:val="008C3836"/>
    <w:rsid w:val="008C44AF"/>
    <w:rsid w:val="008C4AB0"/>
    <w:rsid w:val="008C53B5"/>
    <w:rsid w:val="008C745D"/>
    <w:rsid w:val="008C7FE9"/>
    <w:rsid w:val="008D1584"/>
    <w:rsid w:val="008D258F"/>
    <w:rsid w:val="008D53EA"/>
    <w:rsid w:val="008D5D1E"/>
    <w:rsid w:val="008D66E1"/>
    <w:rsid w:val="008D764D"/>
    <w:rsid w:val="008D77BB"/>
    <w:rsid w:val="008D7913"/>
    <w:rsid w:val="008E0755"/>
    <w:rsid w:val="008E08FF"/>
    <w:rsid w:val="008E0BC4"/>
    <w:rsid w:val="008E0BF1"/>
    <w:rsid w:val="008E15DC"/>
    <w:rsid w:val="008E2533"/>
    <w:rsid w:val="008E2563"/>
    <w:rsid w:val="008E2A81"/>
    <w:rsid w:val="008E2DA5"/>
    <w:rsid w:val="008E3194"/>
    <w:rsid w:val="008E460A"/>
    <w:rsid w:val="008E4F54"/>
    <w:rsid w:val="008E58E2"/>
    <w:rsid w:val="008E5924"/>
    <w:rsid w:val="008E5A0D"/>
    <w:rsid w:val="008E5F35"/>
    <w:rsid w:val="008E6B76"/>
    <w:rsid w:val="008E6DF3"/>
    <w:rsid w:val="008E761F"/>
    <w:rsid w:val="008E7ADA"/>
    <w:rsid w:val="008E7B39"/>
    <w:rsid w:val="008F0236"/>
    <w:rsid w:val="008F0742"/>
    <w:rsid w:val="008F1424"/>
    <w:rsid w:val="008F269C"/>
    <w:rsid w:val="008F2C91"/>
    <w:rsid w:val="008F2D2F"/>
    <w:rsid w:val="008F2DC3"/>
    <w:rsid w:val="008F361F"/>
    <w:rsid w:val="008F3FBD"/>
    <w:rsid w:val="008F5F47"/>
    <w:rsid w:val="008F5FEB"/>
    <w:rsid w:val="008F681C"/>
    <w:rsid w:val="008F7137"/>
    <w:rsid w:val="008F7881"/>
    <w:rsid w:val="008F7A63"/>
    <w:rsid w:val="008F7AFE"/>
    <w:rsid w:val="009017C9"/>
    <w:rsid w:val="009025C4"/>
    <w:rsid w:val="00902B24"/>
    <w:rsid w:val="00903390"/>
    <w:rsid w:val="009038DA"/>
    <w:rsid w:val="00904C32"/>
    <w:rsid w:val="0090598E"/>
    <w:rsid w:val="00905F9B"/>
    <w:rsid w:val="00907FE6"/>
    <w:rsid w:val="009104BF"/>
    <w:rsid w:val="00910AEC"/>
    <w:rsid w:val="00912456"/>
    <w:rsid w:val="00912D7D"/>
    <w:rsid w:val="00913014"/>
    <w:rsid w:val="009138B8"/>
    <w:rsid w:val="009139EB"/>
    <w:rsid w:val="00913CEB"/>
    <w:rsid w:val="00915AC6"/>
    <w:rsid w:val="00915F40"/>
    <w:rsid w:val="009161D8"/>
    <w:rsid w:val="009166AD"/>
    <w:rsid w:val="0091742D"/>
    <w:rsid w:val="00921192"/>
    <w:rsid w:val="00921767"/>
    <w:rsid w:val="00922565"/>
    <w:rsid w:val="00922608"/>
    <w:rsid w:val="00922BF8"/>
    <w:rsid w:val="00924859"/>
    <w:rsid w:val="009251F6"/>
    <w:rsid w:val="00925288"/>
    <w:rsid w:val="00926244"/>
    <w:rsid w:val="0093076B"/>
    <w:rsid w:val="009309F1"/>
    <w:rsid w:val="009312C9"/>
    <w:rsid w:val="009317F3"/>
    <w:rsid w:val="00932445"/>
    <w:rsid w:val="009329DD"/>
    <w:rsid w:val="00932D09"/>
    <w:rsid w:val="0093345A"/>
    <w:rsid w:val="009340A8"/>
    <w:rsid w:val="00934751"/>
    <w:rsid w:val="00934AD5"/>
    <w:rsid w:val="00934F29"/>
    <w:rsid w:val="0093696A"/>
    <w:rsid w:val="00936E05"/>
    <w:rsid w:val="009377A2"/>
    <w:rsid w:val="0094112F"/>
    <w:rsid w:val="00941366"/>
    <w:rsid w:val="00941EA7"/>
    <w:rsid w:val="00942ADB"/>
    <w:rsid w:val="0094525B"/>
    <w:rsid w:val="00946D57"/>
    <w:rsid w:val="009471E7"/>
    <w:rsid w:val="00947241"/>
    <w:rsid w:val="00947934"/>
    <w:rsid w:val="0095136F"/>
    <w:rsid w:val="00952626"/>
    <w:rsid w:val="00952684"/>
    <w:rsid w:val="00952CA6"/>
    <w:rsid w:val="009544F1"/>
    <w:rsid w:val="009549FE"/>
    <w:rsid w:val="00954B40"/>
    <w:rsid w:val="00954C05"/>
    <w:rsid w:val="0095580D"/>
    <w:rsid w:val="00955920"/>
    <w:rsid w:val="0095607B"/>
    <w:rsid w:val="009561D2"/>
    <w:rsid w:val="00956AB8"/>
    <w:rsid w:val="00956E85"/>
    <w:rsid w:val="00957A26"/>
    <w:rsid w:val="0096346E"/>
    <w:rsid w:val="009645C0"/>
    <w:rsid w:val="009651A9"/>
    <w:rsid w:val="00967140"/>
    <w:rsid w:val="00967857"/>
    <w:rsid w:val="00971CC8"/>
    <w:rsid w:val="00972A3A"/>
    <w:rsid w:val="00974892"/>
    <w:rsid w:val="00976F5C"/>
    <w:rsid w:val="009805CE"/>
    <w:rsid w:val="00980880"/>
    <w:rsid w:val="00980F05"/>
    <w:rsid w:val="00982257"/>
    <w:rsid w:val="00984036"/>
    <w:rsid w:val="00984757"/>
    <w:rsid w:val="009865B1"/>
    <w:rsid w:val="00986710"/>
    <w:rsid w:val="009878E3"/>
    <w:rsid w:val="009901A6"/>
    <w:rsid w:val="00990460"/>
    <w:rsid w:val="00990D2C"/>
    <w:rsid w:val="00991DF2"/>
    <w:rsid w:val="009932BA"/>
    <w:rsid w:val="00993977"/>
    <w:rsid w:val="00994627"/>
    <w:rsid w:val="00994924"/>
    <w:rsid w:val="00994A50"/>
    <w:rsid w:val="00996467"/>
    <w:rsid w:val="009965FE"/>
    <w:rsid w:val="00996E47"/>
    <w:rsid w:val="00997D31"/>
    <w:rsid w:val="009A0DAE"/>
    <w:rsid w:val="009A1062"/>
    <w:rsid w:val="009A1486"/>
    <w:rsid w:val="009A1A25"/>
    <w:rsid w:val="009A21EF"/>
    <w:rsid w:val="009A2AD3"/>
    <w:rsid w:val="009A67AD"/>
    <w:rsid w:val="009A6D80"/>
    <w:rsid w:val="009A75B1"/>
    <w:rsid w:val="009A7677"/>
    <w:rsid w:val="009B027B"/>
    <w:rsid w:val="009B09CB"/>
    <w:rsid w:val="009B2C95"/>
    <w:rsid w:val="009B4FB3"/>
    <w:rsid w:val="009B6CDA"/>
    <w:rsid w:val="009B75FD"/>
    <w:rsid w:val="009B761D"/>
    <w:rsid w:val="009B7B13"/>
    <w:rsid w:val="009C02A5"/>
    <w:rsid w:val="009C0591"/>
    <w:rsid w:val="009C1A80"/>
    <w:rsid w:val="009C24C6"/>
    <w:rsid w:val="009C34BE"/>
    <w:rsid w:val="009C3A54"/>
    <w:rsid w:val="009C43B1"/>
    <w:rsid w:val="009C5677"/>
    <w:rsid w:val="009C58F0"/>
    <w:rsid w:val="009C5AEF"/>
    <w:rsid w:val="009C736A"/>
    <w:rsid w:val="009C7D11"/>
    <w:rsid w:val="009D12E7"/>
    <w:rsid w:val="009D13CE"/>
    <w:rsid w:val="009D1CCD"/>
    <w:rsid w:val="009D1DFC"/>
    <w:rsid w:val="009D2CF6"/>
    <w:rsid w:val="009D2DC1"/>
    <w:rsid w:val="009D4040"/>
    <w:rsid w:val="009D43A1"/>
    <w:rsid w:val="009D451E"/>
    <w:rsid w:val="009D51E0"/>
    <w:rsid w:val="009D5200"/>
    <w:rsid w:val="009D62D0"/>
    <w:rsid w:val="009D6D11"/>
    <w:rsid w:val="009D7046"/>
    <w:rsid w:val="009E1208"/>
    <w:rsid w:val="009E1B83"/>
    <w:rsid w:val="009E277B"/>
    <w:rsid w:val="009E2B02"/>
    <w:rsid w:val="009E34BC"/>
    <w:rsid w:val="009E3A75"/>
    <w:rsid w:val="009E436E"/>
    <w:rsid w:val="009E59BE"/>
    <w:rsid w:val="009E5A5B"/>
    <w:rsid w:val="009E5F03"/>
    <w:rsid w:val="009E63AD"/>
    <w:rsid w:val="009E7DA0"/>
    <w:rsid w:val="009F0875"/>
    <w:rsid w:val="009F0900"/>
    <w:rsid w:val="009F0952"/>
    <w:rsid w:val="009F100A"/>
    <w:rsid w:val="009F1E3C"/>
    <w:rsid w:val="009F22D7"/>
    <w:rsid w:val="009F2FC9"/>
    <w:rsid w:val="009F3F04"/>
    <w:rsid w:val="009F3FDB"/>
    <w:rsid w:val="009F5AB2"/>
    <w:rsid w:val="009F5BC2"/>
    <w:rsid w:val="009F6933"/>
    <w:rsid w:val="009F7187"/>
    <w:rsid w:val="00A00BC1"/>
    <w:rsid w:val="00A00F28"/>
    <w:rsid w:val="00A02DA4"/>
    <w:rsid w:val="00A02EFB"/>
    <w:rsid w:val="00A04528"/>
    <w:rsid w:val="00A0506A"/>
    <w:rsid w:val="00A05B72"/>
    <w:rsid w:val="00A06505"/>
    <w:rsid w:val="00A06506"/>
    <w:rsid w:val="00A068B4"/>
    <w:rsid w:val="00A07999"/>
    <w:rsid w:val="00A07EC0"/>
    <w:rsid w:val="00A104FE"/>
    <w:rsid w:val="00A10AF4"/>
    <w:rsid w:val="00A10C86"/>
    <w:rsid w:val="00A11264"/>
    <w:rsid w:val="00A1206A"/>
    <w:rsid w:val="00A12975"/>
    <w:rsid w:val="00A12C95"/>
    <w:rsid w:val="00A13099"/>
    <w:rsid w:val="00A14080"/>
    <w:rsid w:val="00A144F0"/>
    <w:rsid w:val="00A14F22"/>
    <w:rsid w:val="00A15625"/>
    <w:rsid w:val="00A157D8"/>
    <w:rsid w:val="00A15A9E"/>
    <w:rsid w:val="00A169C1"/>
    <w:rsid w:val="00A1703E"/>
    <w:rsid w:val="00A174B6"/>
    <w:rsid w:val="00A20EEF"/>
    <w:rsid w:val="00A223F7"/>
    <w:rsid w:val="00A22F14"/>
    <w:rsid w:val="00A26997"/>
    <w:rsid w:val="00A32396"/>
    <w:rsid w:val="00A33619"/>
    <w:rsid w:val="00A33EB9"/>
    <w:rsid w:val="00A35CC7"/>
    <w:rsid w:val="00A36585"/>
    <w:rsid w:val="00A37753"/>
    <w:rsid w:val="00A404F7"/>
    <w:rsid w:val="00A41AF7"/>
    <w:rsid w:val="00A41EA5"/>
    <w:rsid w:val="00A433C3"/>
    <w:rsid w:val="00A4397C"/>
    <w:rsid w:val="00A451FB"/>
    <w:rsid w:val="00A45A2D"/>
    <w:rsid w:val="00A479D2"/>
    <w:rsid w:val="00A50C77"/>
    <w:rsid w:val="00A50DAD"/>
    <w:rsid w:val="00A536B7"/>
    <w:rsid w:val="00A569F8"/>
    <w:rsid w:val="00A571DD"/>
    <w:rsid w:val="00A57362"/>
    <w:rsid w:val="00A60C42"/>
    <w:rsid w:val="00A616CC"/>
    <w:rsid w:val="00A620E3"/>
    <w:rsid w:val="00A63529"/>
    <w:rsid w:val="00A641AD"/>
    <w:rsid w:val="00A6503C"/>
    <w:rsid w:val="00A65E2C"/>
    <w:rsid w:val="00A66043"/>
    <w:rsid w:val="00A663E1"/>
    <w:rsid w:val="00A67176"/>
    <w:rsid w:val="00A678F7"/>
    <w:rsid w:val="00A67F7D"/>
    <w:rsid w:val="00A70363"/>
    <w:rsid w:val="00A71432"/>
    <w:rsid w:val="00A72048"/>
    <w:rsid w:val="00A72B4B"/>
    <w:rsid w:val="00A75BAD"/>
    <w:rsid w:val="00A763E2"/>
    <w:rsid w:val="00A77054"/>
    <w:rsid w:val="00A77628"/>
    <w:rsid w:val="00A77FCB"/>
    <w:rsid w:val="00A80958"/>
    <w:rsid w:val="00A80E03"/>
    <w:rsid w:val="00A80FAD"/>
    <w:rsid w:val="00A81BD2"/>
    <w:rsid w:val="00A81E89"/>
    <w:rsid w:val="00A820E1"/>
    <w:rsid w:val="00A821D3"/>
    <w:rsid w:val="00A8270C"/>
    <w:rsid w:val="00A83875"/>
    <w:rsid w:val="00A84B7B"/>
    <w:rsid w:val="00A856A1"/>
    <w:rsid w:val="00A85F7D"/>
    <w:rsid w:val="00A87BB2"/>
    <w:rsid w:val="00A9101A"/>
    <w:rsid w:val="00A920F6"/>
    <w:rsid w:val="00A929B4"/>
    <w:rsid w:val="00A93726"/>
    <w:rsid w:val="00A938D0"/>
    <w:rsid w:val="00A938F7"/>
    <w:rsid w:val="00A93C56"/>
    <w:rsid w:val="00A94791"/>
    <w:rsid w:val="00A948C8"/>
    <w:rsid w:val="00A955A6"/>
    <w:rsid w:val="00A96639"/>
    <w:rsid w:val="00A96759"/>
    <w:rsid w:val="00AA006C"/>
    <w:rsid w:val="00AA00BC"/>
    <w:rsid w:val="00AA23D4"/>
    <w:rsid w:val="00AA2546"/>
    <w:rsid w:val="00AA265A"/>
    <w:rsid w:val="00AA335F"/>
    <w:rsid w:val="00AA4456"/>
    <w:rsid w:val="00AA69CC"/>
    <w:rsid w:val="00AA72A0"/>
    <w:rsid w:val="00AA7483"/>
    <w:rsid w:val="00AA7886"/>
    <w:rsid w:val="00AB06AA"/>
    <w:rsid w:val="00AB0E67"/>
    <w:rsid w:val="00AB2378"/>
    <w:rsid w:val="00AB24A8"/>
    <w:rsid w:val="00AB259E"/>
    <w:rsid w:val="00AB355F"/>
    <w:rsid w:val="00AB3658"/>
    <w:rsid w:val="00AB3B00"/>
    <w:rsid w:val="00AB3F38"/>
    <w:rsid w:val="00AB5A48"/>
    <w:rsid w:val="00AB6BE8"/>
    <w:rsid w:val="00AB6DBD"/>
    <w:rsid w:val="00AB6F0E"/>
    <w:rsid w:val="00AC0B41"/>
    <w:rsid w:val="00AC0B6D"/>
    <w:rsid w:val="00AC1D2D"/>
    <w:rsid w:val="00AC3BFD"/>
    <w:rsid w:val="00AC6D67"/>
    <w:rsid w:val="00AC76C6"/>
    <w:rsid w:val="00AD1207"/>
    <w:rsid w:val="00AD1D9B"/>
    <w:rsid w:val="00AD1DC7"/>
    <w:rsid w:val="00AD1F41"/>
    <w:rsid w:val="00AD254C"/>
    <w:rsid w:val="00AD3040"/>
    <w:rsid w:val="00AD59A2"/>
    <w:rsid w:val="00AD5A99"/>
    <w:rsid w:val="00AD6578"/>
    <w:rsid w:val="00AD69DE"/>
    <w:rsid w:val="00AE0068"/>
    <w:rsid w:val="00AE0B86"/>
    <w:rsid w:val="00AE219F"/>
    <w:rsid w:val="00AE253F"/>
    <w:rsid w:val="00AE28BD"/>
    <w:rsid w:val="00AE2F41"/>
    <w:rsid w:val="00AE34D5"/>
    <w:rsid w:val="00AE3B5D"/>
    <w:rsid w:val="00AE47C3"/>
    <w:rsid w:val="00AE4F31"/>
    <w:rsid w:val="00AE55AA"/>
    <w:rsid w:val="00AE6B59"/>
    <w:rsid w:val="00AE71CB"/>
    <w:rsid w:val="00AE7896"/>
    <w:rsid w:val="00AE7C8F"/>
    <w:rsid w:val="00AF053B"/>
    <w:rsid w:val="00AF126D"/>
    <w:rsid w:val="00AF175E"/>
    <w:rsid w:val="00AF1E7D"/>
    <w:rsid w:val="00AF22C3"/>
    <w:rsid w:val="00AF2452"/>
    <w:rsid w:val="00AF28A1"/>
    <w:rsid w:val="00AF4817"/>
    <w:rsid w:val="00AF547E"/>
    <w:rsid w:val="00AF54E1"/>
    <w:rsid w:val="00AF68FE"/>
    <w:rsid w:val="00AF6B9B"/>
    <w:rsid w:val="00AF6C34"/>
    <w:rsid w:val="00B01327"/>
    <w:rsid w:val="00B016A6"/>
    <w:rsid w:val="00B027D1"/>
    <w:rsid w:val="00B03FB4"/>
    <w:rsid w:val="00B05C97"/>
    <w:rsid w:val="00B072A7"/>
    <w:rsid w:val="00B10E45"/>
    <w:rsid w:val="00B12F59"/>
    <w:rsid w:val="00B13071"/>
    <w:rsid w:val="00B13501"/>
    <w:rsid w:val="00B14321"/>
    <w:rsid w:val="00B14AC7"/>
    <w:rsid w:val="00B14FB3"/>
    <w:rsid w:val="00B15732"/>
    <w:rsid w:val="00B15AD6"/>
    <w:rsid w:val="00B15EE1"/>
    <w:rsid w:val="00B16EC1"/>
    <w:rsid w:val="00B1763D"/>
    <w:rsid w:val="00B17763"/>
    <w:rsid w:val="00B17E0D"/>
    <w:rsid w:val="00B22836"/>
    <w:rsid w:val="00B239DD"/>
    <w:rsid w:val="00B23BC3"/>
    <w:rsid w:val="00B23FD9"/>
    <w:rsid w:val="00B24617"/>
    <w:rsid w:val="00B249E3"/>
    <w:rsid w:val="00B25266"/>
    <w:rsid w:val="00B25517"/>
    <w:rsid w:val="00B26EBC"/>
    <w:rsid w:val="00B27383"/>
    <w:rsid w:val="00B314F2"/>
    <w:rsid w:val="00B31EE8"/>
    <w:rsid w:val="00B320B9"/>
    <w:rsid w:val="00B331A5"/>
    <w:rsid w:val="00B3370D"/>
    <w:rsid w:val="00B3396F"/>
    <w:rsid w:val="00B363C5"/>
    <w:rsid w:val="00B36895"/>
    <w:rsid w:val="00B368DD"/>
    <w:rsid w:val="00B36FC4"/>
    <w:rsid w:val="00B3773F"/>
    <w:rsid w:val="00B42D16"/>
    <w:rsid w:val="00B432EC"/>
    <w:rsid w:val="00B439C4"/>
    <w:rsid w:val="00B4470B"/>
    <w:rsid w:val="00B461F8"/>
    <w:rsid w:val="00B4646C"/>
    <w:rsid w:val="00B465E7"/>
    <w:rsid w:val="00B46D2B"/>
    <w:rsid w:val="00B502E9"/>
    <w:rsid w:val="00B5132F"/>
    <w:rsid w:val="00B521DF"/>
    <w:rsid w:val="00B528D3"/>
    <w:rsid w:val="00B5294A"/>
    <w:rsid w:val="00B52A70"/>
    <w:rsid w:val="00B52BB4"/>
    <w:rsid w:val="00B546BA"/>
    <w:rsid w:val="00B55BCE"/>
    <w:rsid w:val="00B6015B"/>
    <w:rsid w:val="00B60D89"/>
    <w:rsid w:val="00B61189"/>
    <w:rsid w:val="00B611DC"/>
    <w:rsid w:val="00B618CB"/>
    <w:rsid w:val="00B6215A"/>
    <w:rsid w:val="00B63BDD"/>
    <w:rsid w:val="00B67AB5"/>
    <w:rsid w:val="00B705A9"/>
    <w:rsid w:val="00B708F1"/>
    <w:rsid w:val="00B72687"/>
    <w:rsid w:val="00B74105"/>
    <w:rsid w:val="00B74B58"/>
    <w:rsid w:val="00B74D1B"/>
    <w:rsid w:val="00B754C3"/>
    <w:rsid w:val="00B7619F"/>
    <w:rsid w:val="00B766D5"/>
    <w:rsid w:val="00B76EEB"/>
    <w:rsid w:val="00B80F4A"/>
    <w:rsid w:val="00B80F64"/>
    <w:rsid w:val="00B818A2"/>
    <w:rsid w:val="00B8219F"/>
    <w:rsid w:val="00B829B6"/>
    <w:rsid w:val="00B8354F"/>
    <w:rsid w:val="00B8396F"/>
    <w:rsid w:val="00B839EB"/>
    <w:rsid w:val="00B848CD"/>
    <w:rsid w:val="00B84E81"/>
    <w:rsid w:val="00B85BC9"/>
    <w:rsid w:val="00B868CC"/>
    <w:rsid w:val="00B86987"/>
    <w:rsid w:val="00B873C5"/>
    <w:rsid w:val="00B8752F"/>
    <w:rsid w:val="00B9091F"/>
    <w:rsid w:val="00B911A3"/>
    <w:rsid w:val="00B91649"/>
    <w:rsid w:val="00B9272A"/>
    <w:rsid w:val="00B938F0"/>
    <w:rsid w:val="00B93ABA"/>
    <w:rsid w:val="00B93D5D"/>
    <w:rsid w:val="00B9472F"/>
    <w:rsid w:val="00B97443"/>
    <w:rsid w:val="00B97845"/>
    <w:rsid w:val="00B97F68"/>
    <w:rsid w:val="00BA0020"/>
    <w:rsid w:val="00BA0187"/>
    <w:rsid w:val="00BA0FC9"/>
    <w:rsid w:val="00BA13A2"/>
    <w:rsid w:val="00BA178F"/>
    <w:rsid w:val="00BA3E11"/>
    <w:rsid w:val="00BA4A72"/>
    <w:rsid w:val="00BA7718"/>
    <w:rsid w:val="00BB0AB6"/>
    <w:rsid w:val="00BB181D"/>
    <w:rsid w:val="00BB2546"/>
    <w:rsid w:val="00BB3108"/>
    <w:rsid w:val="00BB4960"/>
    <w:rsid w:val="00BB7AF2"/>
    <w:rsid w:val="00BC09A6"/>
    <w:rsid w:val="00BC1DD8"/>
    <w:rsid w:val="00BC2E77"/>
    <w:rsid w:val="00BC423D"/>
    <w:rsid w:val="00BC4262"/>
    <w:rsid w:val="00BC57FC"/>
    <w:rsid w:val="00BC5C40"/>
    <w:rsid w:val="00BC6572"/>
    <w:rsid w:val="00BC7DB7"/>
    <w:rsid w:val="00BD011F"/>
    <w:rsid w:val="00BD0FFB"/>
    <w:rsid w:val="00BD3158"/>
    <w:rsid w:val="00BD425B"/>
    <w:rsid w:val="00BD440C"/>
    <w:rsid w:val="00BD59AF"/>
    <w:rsid w:val="00BD60C2"/>
    <w:rsid w:val="00BD60D1"/>
    <w:rsid w:val="00BD6DE3"/>
    <w:rsid w:val="00BD7135"/>
    <w:rsid w:val="00BE07BF"/>
    <w:rsid w:val="00BE0915"/>
    <w:rsid w:val="00BE0F23"/>
    <w:rsid w:val="00BE18EB"/>
    <w:rsid w:val="00BE4D58"/>
    <w:rsid w:val="00BE514F"/>
    <w:rsid w:val="00BE532B"/>
    <w:rsid w:val="00BE639E"/>
    <w:rsid w:val="00BE6441"/>
    <w:rsid w:val="00BE7B33"/>
    <w:rsid w:val="00BF06E4"/>
    <w:rsid w:val="00BF0889"/>
    <w:rsid w:val="00BF4271"/>
    <w:rsid w:val="00BF4FB2"/>
    <w:rsid w:val="00BF51C9"/>
    <w:rsid w:val="00BF533E"/>
    <w:rsid w:val="00BF6B8F"/>
    <w:rsid w:val="00C00BF7"/>
    <w:rsid w:val="00C010AA"/>
    <w:rsid w:val="00C02AA6"/>
    <w:rsid w:val="00C03590"/>
    <w:rsid w:val="00C03B6C"/>
    <w:rsid w:val="00C04160"/>
    <w:rsid w:val="00C047F2"/>
    <w:rsid w:val="00C04DDA"/>
    <w:rsid w:val="00C057AC"/>
    <w:rsid w:val="00C06776"/>
    <w:rsid w:val="00C0681B"/>
    <w:rsid w:val="00C06C70"/>
    <w:rsid w:val="00C07370"/>
    <w:rsid w:val="00C075D0"/>
    <w:rsid w:val="00C07994"/>
    <w:rsid w:val="00C07E16"/>
    <w:rsid w:val="00C103D9"/>
    <w:rsid w:val="00C12572"/>
    <w:rsid w:val="00C144A0"/>
    <w:rsid w:val="00C146E7"/>
    <w:rsid w:val="00C16D40"/>
    <w:rsid w:val="00C204A0"/>
    <w:rsid w:val="00C20CD9"/>
    <w:rsid w:val="00C217AA"/>
    <w:rsid w:val="00C219A0"/>
    <w:rsid w:val="00C223EB"/>
    <w:rsid w:val="00C23359"/>
    <w:rsid w:val="00C234A7"/>
    <w:rsid w:val="00C24106"/>
    <w:rsid w:val="00C24644"/>
    <w:rsid w:val="00C24CE2"/>
    <w:rsid w:val="00C24E38"/>
    <w:rsid w:val="00C2628E"/>
    <w:rsid w:val="00C263FF"/>
    <w:rsid w:val="00C321EA"/>
    <w:rsid w:val="00C32389"/>
    <w:rsid w:val="00C325C4"/>
    <w:rsid w:val="00C32918"/>
    <w:rsid w:val="00C32AE3"/>
    <w:rsid w:val="00C32BAA"/>
    <w:rsid w:val="00C34117"/>
    <w:rsid w:val="00C354F2"/>
    <w:rsid w:val="00C35909"/>
    <w:rsid w:val="00C36410"/>
    <w:rsid w:val="00C3668A"/>
    <w:rsid w:val="00C3764D"/>
    <w:rsid w:val="00C4208C"/>
    <w:rsid w:val="00C4263B"/>
    <w:rsid w:val="00C43297"/>
    <w:rsid w:val="00C43368"/>
    <w:rsid w:val="00C4337C"/>
    <w:rsid w:val="00C43C30"/>
    <w:rsid w:val="00C448F1"/>
    <w:rsid w:val="00C44C15"/>
    <w:rsid w:val="00C45C49"/>
    <w:rsid w:val="00C47475"/>
    <w:rsid w:val="00C47C98"/>
    <w:rsid w:val="00C47D46"/>
    <w:rsid w:val="00C5031F"/>
    <w:rsid w:val="00C50885"/>
    <w:rsid w:val="00C52120"/>
    <w:rsid w:val="00C52ECB"/>
    <w:rsid w:val="00C53567"/>
    <w:rsid w:val="00C53708"/>
    <w:rsid w:val="00C54BFC"/>
    <w:rsid w:val="00C54DE3"/>
    <w:rsid w:val="00C55DF6"/>
    <w:rsid w:val="00C56C42"/>
    <w:rsid w:val="00C57BF5"/>
    <w:rsid w:val="00C60E3C"/>
    <w:rsid w:val="00C61320"/>
    <w:rsid w:val="00C635FD"/>
    <w:rsid w:val="00C63690"/>
    <w:rsid w:val="00C639A7"/>
    <w:rsid w:val="00C63EE8"/>
    <w:rsid w:val="00C641C9"/>
    <w:rsid w:val="00C668D5"/>
    <w:rsid w:val="00C67506"/>
    <w:rsid w:val="00C72980"/>
    <w:rsid w:val="00C740B4"/>
    <w:rsid w:val="00C749E6"/>
    <w:rsid w:val="00C74CFE"/>
    <w:rsid w:val="00C75CBA"/>
    <w:rsid w:val="00C75DB8"/>
    <w:rsid w:val="00C77D2E"/>
    <w:rsid w:val="00C80648"/>
    <w:rsid w:val="00C807B6"/>
    <w:rsid w:val="00C81A8E"/>
    <w:rsid w:val="00C83A70"/>
    <w:rsid w:val="00C83B2F"/>
    <w:rsid w:val="00C84F12"/>
    <w:rsid w:val="00C85B6B"/>
    <w:rsid w:val="00C86776"/>
    <w:rsid w:val="00C86E92"/>
    <w:rsid w:val="00C86EF8"/>
    <w:rsid w:val="00C87EDB"/>
    <w:rsid w:val="00C904EE"/>
    <w:rsid w:val="00C911C6"/>
    <w:rsid w:val="00C91352"/>
    <w:rsid w:val="00C91AEA"/>
    <w:rsid w:val="00C92A57"/>
    <w:rsid w:val="00C932BF"/>
    <w:rsid w:val="00C93C19"/>
    <w:rsid w:val="00C93D62"/>
    <w:rsid w:val="00C94DD8"/>
    <w:rsid w:val="00C94FF6"/>
    <w:rsid w:val="00C95874"/>
    <w:rsid w:val="00C96F01"/>
    <w:rsid w:val="00C97745"/>
    <w:rsid w:val="00CA05C1"/>
    <w:rsid w:val="00CA0EBE"/>
    <w:rsid w:val="00CA0FF2"/>
    <w:rsid w:val="00CA1023"/>
    <w:rsid w:val="00CA24D4"/>
    <w:rsid w:val="00CA2F76"/>
    <w:rsid w:val="00CA4763"/>
    <w:rsid w:val="00CA6114"/>
    <w:rsid w:val="00CA6E01"/>
    <w:rsid w:val="00CA7914"/>
    <w:rsid w:val="00CB3092"/>
    <w:rsid w:val="00CB7B6B"/>
    <w:rsid w:val="00CC051C"/>
    <w:rsid w:val="00CC0614"/>
    <w:rsid w:val="00CC076C"/>
    <w:rsid w:val="00CC090C"/>
    <w:rsid w:val="00CC09AB"/>
    <w:rsid w:val="00CC0C60"/>
    <w:rsid w:val="00CC1BFB"/>
    <w:rsid w:val="00CC1DE7"/>
    <w:rsid w:val="00CC2420"/>
    <w:rsid w:val="00CC2B02"/>
    <w:rsid w:val="00CC43D7"/>
    <w:rsid w:val="00CC4481"/>
    <w:rsid w:val="00CC4C03"/>
    <w:rsid w:val="00CC57A0"/>
    <w:rsid w:val="00CC5808"/>
    <w:rsid w:val="00CC6156"/>
    <w:rsid w:val="00CD0E6A"/>
    <w:rsid w:val="00CD5BED"/>
    <w:rsid w:val="00CD61C2"/>
    <w:rsid w:val="00CE0F52"/>
    <w:rsid w:val="00CE1C1E"/>
    <w:rsid w:val="00CE36F6"/>
    <w:rsid w:val="00CE3BDF"/>
    <w:rsid w:val="00CE5E9E"/>
    <w:rsid w:val="00CE62FA"/>
    <w:rsid w:val="00CE7D98"/>
    <w:rsid w:val="00CF07BB"/>
    <w:rsid w:val="00CF14B4"/>
    <w:rsid w:val="00CF169A"/>
    <w:rsid w:val="00CF23EC"/>
    <w:rsid w:val="00CF3FDA"/>
    <w:rsid w:val="00D00316"/>
    <w:rsid w:val="00D013CB"/>
    <w:rsid w:val="00D01511"/>
    <w:rsid w:val="00D03980"/>
    <w:rsid w:val="00D044C1"/>
    <w:rsid w:val="00D05159"/>
    <w:rsid w:val="00D06091"/>
    <w:rsid w:val="00D06B7C"/>
    <w:rsid w:val="00D07B8E"/>
    <w:rsid w:val="00D10A83"/>
    <w:rsid w:val="00D10BC5"/>
    <w:rsid w:val="00D11B59"/>
    <w:rsid w:val="00D125B6"/>
    <w:rsid w:val="00D12F6E"/>
    <w:rsid w:val="00D136AE"/>
    <w:rsid w:val="00D13951"/>
    <w:rsid w:val="00D13D85"/>
    <w:rsid w:val="00D14697"/>
    <w:rsid w:val="00D14E01"/>
    <w:rsid w:val="00D15173"/>
    <w:rsid w:val="00D15DC1"/>
    <w:rsid w:val="00D1693B"/>
    <w:rsid w:val="00D1729B"/>
    <w:rsid w:val="00D17307"/>
    <w:rsid w:val="00D205D5"/>
    <w:rsid w:val="00D24BF1"/>
    <w:rsid w:val="00D24D32"/>
    <w:rsid w:val="00D25830"/>
    <w:rsid w:val="00D272CC"/>
    <w:rsid w:val="00D300B9"/>
    <w:rsid w:val="00D32FCC"/>
    <w:rsid w:val="00D330C4"/>
    <w:rsid w:val="00D331A5"/>
    <w:rsid w:val="00D333E8"/>
    <w:rsid w:val="00D33A0E"/>
    <w:rsid w:val="00D35F50"/>
    <w:rsid w:val="00D3762C"/>
    <w:rsid w:val="00D378F2"/>
    <w:rsid w:val="00D40AA1"/>
    <w:rsid w:val="00D4207B"/>
    <w:rsid w:val="00D42C49"/>
    <w:rsid w:val="00D443DB"/>
    <w:rsid w:val="00D44B25"/>
    <w:rsid w:val="00D4567E"/>
    <w:rsid w:val="00D46B9F"/>
    <w:rsid w:val="00D46BDB"/>
    <w:rsid w:val="00D46DC1"/>
    <w:rsid w:val="00D47105"/>
    <w:rsid w:val="00D47A29"/>
    <w:rsid w:val="00D47BF2"/>
    <w:rsid w:val="00D50123"/>
    <w:rsid w:val="00D51735"/>
    <w:rsid w:val="00D52437"/>
    <w:rsid w:val="00D52C74"/>
    <w:rsid w:val="00D52D14"/>
    <w:rsid w:val="00D534F9"/>
    <w:rsid w:val="00D54F37"/>
    <w:rsid w:val="00D56778"/>
    <w:rsid w:val="00D567AC"/>
    <w:rsid w:val="00D57AA0"/>
    <w:rsid w:val="00D60C87"/>
    <w:rsid w:val="00D61A73"/>
    <w:rsid w:val="00D639F6"/>
    <w:rsid w:val="00D64069"/>
    <w:rsid w:val="00D64287"/>
    <w:rsid w:val="00D6436E"/>
    <w:rsid w:val="00D6678D"/>
    <w:rsid w:val="00D66CD4"/>
    <w:rsid w:val="00D703B2"/>
    <w:rsid w:val="00D71416"/>
    <w:rsid w:val="00D7171B"/>
    <w:rsid w:val="00D71B71"/>
    <w:rsid w:val="00D742D5"/>
    <w:rsid w:val="00D745A0"/>
    <w:rsid w:val="00D74770"/>
    <w:rsid w:val="00D74933"/>
    <w:rsid w:val="00D762FC"/>
    <w:rsid w:val="00D77788"/>
    <w:rsid w:val="00D81027"/>
    <w:rsid w:val="00D81B24"/>
    <w:rsid w:val="00D83CFD"/>
    <w:rsid w:val="00D8408C"/>
    <w:rsid w:val="00D844DB"/>
    <w:rsid w:val="00D84909"/>
    <w:rsid w:val="00D853D4"/>
    <w:rsid w:val="00D90BDD"/>
    <w:rsid w:val="00D90C1F"/>
    <w:rsid w:val="00D94B7D"/>
    <w:rsid w:val="00D94CE7"/>
    <w:rsid w:val="00D95550"/>
    <w:rsid w:val="00D97990"/>
    <w:rsid w:val="00DA15CC"/>
    <w:rsid w:val="00DA18D1"/>
    <w:rsid w:val="00DA1D62"/>
    <w:rsid w:val="00DA1EAA"/>
    <w:rsid w:val="00DA1F61"/>
    <w:rsid w:val="00DA215F"/>
    <w:rsid w:val="00DA2A99"/>
    <w:rsid w:val="00DA3196"/>
    <w:rsid w:val="00DA3F86"/>
    <w:rsid w:val="00DA4661"/>
    <w:rsid w:val="00DA5945"/>
    <w:rsid w:val="00DA6350"/>
    <w:rsid w:val="00DB0BAB"/>
    <w:rsid w:val="00DB273B"/>
    <w:rsid w:val="00DB6520"/>
    <w:rsid w:val="00DB6DFC"/>
    <w:rsid w:val="00DC0CD2"/>
    <w:rsid w:val="00DC2911"/>
    <w:rsid w:val="00DC3FBE"/>
    <w:rsid w:val="00DC543E"/>
    <w:rsid w:val="00DC5467"/>
    <w:rsid w:val="00DC5BE1"/>
    <w:rsid w:val="00DC75DE"/>
    <w:rsid w:val="00DC7693"/>
    <w:rsid w:val="00DD01E3"/>
    <w:rsid w:val="00DD09E0"/>
    <w:rsid w:val="00DD11C9"/>
    <w:rsid w:val="00DD181C"/>
    <w:rsid w:val="00DD1CAB"/>
    <w:rsid w:val="00DD260D"/>
    <w:rsid w:val="00DD2FF2"/>
    <w:rsid w:val="00DD41B2"/>
    <w:rsid w:val="00DD47E3"/>
    <w:rsid w:val="00DD7BCC"/>
    <w:rsid w:val="00DE0D5D"/>
    <w:rsid w:val="00DE1921"/>
    <w:rsid w:val="00DE1D22"/>
    <w:rsid w:val="00DE2382"/>
    <w:rsid w:val="00DE4123"/>
    <w:rsid w:val="00DE6416"/>
    <w:rsid w:val="00DE6587"/>
    <w:rsid w:val="00DE6644"/>
    <w:rsid w:val="00DE6CFC"/>
    <w:rsid w:val="00DE7335"/>
    <w:rsid w:val="00DF1506"/>
    <w:rsid w:val="00DF212C"/>
    <w:rsid w:val="00DF3929"/>
    <w:rsid w:val="00DF4ACD"/>
    <w:rsid w:val="00DF525C"/>
    <w:rsid w:val="00DF5706"/>
    <w:rsid w:val="00DF5EAF"/>
    <w:rsid w:val="00DF636B"/>
    <w:rsid w:val="00DF6459"/>
    <w:rsid w:val="00DF6947"/>
    <w:rsid w:val="00DF6D94"/>
    <w:rsid w:val="00DF6E06"/>
    <w:rsid w:val="00E00A23"/>
    <w:rsid w:val="00E00F96"/>
    <w:rsid w:val="00E027B9"/>
    <w:rsid w:val="00E03910"/>
    <w:rsid w:val="00E039E7"/>
    <w:rsid w:val="00E03D98"/>
    <w:rsid w:val="00E04579"/>
    <w:rsid w:val="00E0474A"/>
    <w:rsid w:val="00E04928"/>
    <w:rsid w:val="00E052B0"/>
    <w:rsid w:val="00E05857"/>
    <w:rsid w:val="00E0639F"/>
    <w:rsid w:val="00E064D2"/>
    <w:rsid w:val="00E109AA"/>
    <w:rsid w:val="00E10B49"/>
    <w:rsid w:val="00E10E01"/>
    <w:rsid w:val="00E115B0"/>
    <w:rsid w:val="00E11F06"/>
    <w:rsid w:val="00E122EC"/>
    <w:rsid w:val="00E12471"/>
    <w:rsid w:val="00E13EED"/>
    <w:rsid w:val="00E15CAF"/>
    <w:rsid w:val="00E15E91"/>
    <w:rsid w:val="00E2159F"/>
    <w:rsid w:val="00E224F1"/>
    <w:rsid w:val="00E23F1E"/>
    <w:rsid w:val="00E244C3"/>
    <w:rsid w:val="00E246B7"/>
    <w:rsid w:val="00E25005"/>
    <w:rsid w:val="00E25A8C"/>
    <w:rsid w:val="00E25C11"/>
    <w:rsid w:val="00E266E1"/>
    <w:rsid w:val="00E27133"/>
    <w:rsid w:val="00E2724E"/>
    <w:rsid w:val="00E275E3"/>
    <w:rsid w:val="00E3117F"/>
    <w:rsid w:val="00E313BB"/>
    <w:rsid w:val="00E31528"/>
    <w:rsid w:val="00E31F57"/>
    <w:rsid w:val="00E324F9"/>
    <w:rsid w:val="00E3429F"/>
    <w:rsid w:val="00E34820"/>
    <w:rsid w:val="00E34D81"/>
    <w:rsid w:val="00E377E9"/>
    <w:rsid w:val="00E37C25"/>
    <w:rsid w:val="00E37E01"/>
    <w:rsid w:val="00E37F22"/>
    <w:rsid w:val="00E40AC7"/>
    <w:rsid w:val="00E40B03"/>
    <w:rsid w:val="00E41196"/>
    <w:rsid w:val="00E41E22"/>
    <w:rsid w:val="00E50001"/>
    <w:rsid w:val="00E50ADC"/>
    <w:rsid w:val="00E51CB3"/>
    <w:rsid w:val="00E51DBB"/>
    <w:rsid w:val="00E52B15"/>
    <w:rsid w:val="00E61A89"/>
    <w:rsid w:val="00E620E7"/>
    <w:rsid w:val="00E626C3"/>
    <w:rsid w:val="00E62D78"/>
    <w:rsid w:val="00E63048"/>
    <w:rsid w:val="00E63160"/>
    <w:rsid w:val="00E631D9"/>
    <w:rsid w:val="00E63261"/>
    <w:rsid w:val="00E64069"/>
    <w:rsid w:val="00E642E5"/>
    <w:rsid w:val="00E6647C"/>
    <w:rsid w:val="00E67969"/>
    <w:rsid w:val="00E67DC5"/>
    <w:rsid w:val="00E71940"/>
    <w:rsid w:val="00E73014"/>
    <w:rsid w:val="00E737E2"/>
    <w:rsid w:val="00E7388B"/>
    <w:rsid w:val="00E7450B"/>
    <w:rsid w:val="00E75063"/>
    <w:rsid w:val="00E75762"/>
    <w:rsid w:val="00E75D50"/>
    <w:rsid w:val="00E7770D"/>
    <w:rsid w:val="00E77E97"/>
    <w:rsid w:val="00E82AB3"/>
    <w:rsid w:val="00E82B2A"/>
    <w:rsid w:val="00E82C8E"/>
    <w:rsid w:val="00E82D1F"/>
    <w:rsid w:val="00E837F5"/>
    <w:rsid w:val="00E83AD4"/>
    <w:rsid w:val="00E83CE2"/>
    <w:rsid w:val="00E84941"/>
    <w:rsid w:val="00E84B07"/>
    <w:rsid w:val="00E84B6D"/>
    <w:rsid w:val="00E85364"/>
    <w:rsid w:val="00E86C46"/>
    <w:rsid w:val="00E8737D"/>
    <w:rsid w:val="00E91D08"/>
    <w:rsid w:val="00E93162"/>
    <w:rsid w:val="00E93948"/>
    <w:rsid w:val="00E939CF"/>
    <w:rsid w:val="00E93B25"/>
    <w:rsid w:val="00E9464C"/>
    <w:rsid w:val="00E94805"/>
    <w:rsid w:val="00E97ABE"/>
    <w:rsid w:val="00E97C40"/>
    <w:rsid w:val="00EA0196"/>
    <w:rsid w:val="00EA1D97"/>
    <w:rsid w:val="00EA1EAD"/>
    <w:rsid w:val="00EA58CB"/>
    <w:rsid w:val="00EB1402"/>
    <w:rsid w:val="00EB1BC7"/>
    <w:rsid w:val="00EB2761"/>
    <w:rsid w:val="00EB3517"/>
    <w:rsid w:val="00EB42F4"/>
    <w:rsid w:val="00EB600F"/>
    <w:rsid w:val="00EB769B"/>
    <w:rsid w:val="00EB7925"/>
    <w:rsid w:val="00EC085F"/>
    <w:rsid w:val="00EC120E"/>
    <w:rsid w:val="00EC179F"/>
    <w:rsid w:val="00EC1EDA"/>
    <w:rsid w:val="00EC4757"/>
    <w:rsid w:val="00EC49AD"/>
    <w:rsid w:val="00EC49B4"/>
    <w:rsid w:val="00EC58D1"/>
    <w:rsid w:val="00EC5E6D"/>
    <w:rsid w:val="00EC66DC"/>
    <w:rsid w:val="00EC7A43"/>
    <w:rsid w:val="00ED034C"/>
    <w:rsid w:val="00ED0AB3"/>
    <w:rsid w:val="00ED1D99"/>
    <w:rsid w:val="00ED1F18"/>
    <w:rsid w:val="00ED2B39"/>
    <w:rsid w:val="00ED2D66"/>
    <w:rsid w:val="00ED48D2"/>
    <w:rsid w:val="00ED4A41"/>
    <w:rsid w:val="00EE051A"/>
    <w:rsid w:val="00EE082B"/>
    <w:rsid w:val="00EE11F3"/>
    <w:rsid w:val="00EE2326"/>
    <w:rsid w:val="00EE247C"/>
    <w:rsid w:val="00EE270E"/>
    <w:rsid w:val="00EE30FB"/>
    <w:rsid w:val="00EE348A"/>
    <w:rsid w:val="00EE34E3"/>
    <w:rsid w:val="00EE383D"/>
    <w:rsid w:val="00EE41C4"/>
    <w:rsid w:val="00EE556B"/>
    <w:rsid w:val="00EE6166"/>
    <w:rsid w:val="00EE6CAA"/>
    <w:rsid w:val="00EF01EA"/>
    <w:rsid w:val="00EF0CB2"/>
    <w:rsid w:val="00EF15B8"/>
    <w:rsid w:val="00EF2136"/>
    <w:rsid w:val="00EF467F"/>
    <w:rsid w:val="00EF4DCF"/>
    <w:rsid w:val="00EF5F1B"/>
    <w:rsid w:val="00EF5F7B"/>
    <w:rsid w:val="00EF6C2A"/>
    <w:rsid w:val="00EF7110"/>
    <w:rsid w:val="00EF7945"/>
    <w:rsid w:val="00EF7B92"/>
    <w:rsid w:val="00EF7C3F"/>
    <w:rsid w:val="00F0081F"/>
    <w:rsid w:val="00F0143F"/>
    <w:rsid w:val="00F01C23"/>
    <w:rsid w:val="00F01E5C"/>
    <w:rsid w:val="00F049AD"/>
    <w:rsid w:val="00F0628B"/>
    <w:rsid w:val="00F0702E"/>
    <w:rsid w:val="00F07BA4"/>
    <w:rsid w:val="00F07F39"/>
    <w:rsid w:val="00F11BE1"/>
    <w:rsid w:val="00F12590"/>
    <w:rsid w:val="00F13B0E"/>
    <w:rsid w:val="00F13B9F"/>
    <w:rsid w:val="00F13D0C"/>
    <w:rsid w:val="00F14D9F"/>
    <w:rsid w:val="00F1588C"/>
    <w:rsid w:val="00F16610"/>
    <w:rsid w:val="00F17A3F"/>
    <w:rsid w:val="00F207AB"/>
    <w:rsid w:val="00F21299"/>
    <w:rsid w:val="00F22810"/>
    <w:rsid w:val="00F22A5F"/>
    <w:rsid w:val="00F23D02"/>
    <w:rsid w:val="00F23F38"/>
    <w:rsid w:val="00F24282"/>
    <w:rsid w:val="00F24744"/>
    <w:rsid w:val="00F24B8D"/>
    <w:rsid w:val="00F25446"/>
    <w:rsid w:val="00F25F9D"/>
    <w:rsid w:val="00F267EA"/>
    <w:rsid w:val="00F26920"/>
    <w:rsid w:val="00F276C9"/>
    <w:rsid w:val="00F27ED4"/>
    <w:rsid w:val="00F31100"/>
    <w:rsid w:val="00F313D2"/>
    <w:rsid w:val="00F3140D"/>
    <w:rsid w:val="00F321FD"/>
    <w:rsid w:val="00F326D4"/>
    <w:rsid w:val="00F333F3"/>
    <w:rsid w:val="00F33DC5"/>
    <w:rsid w:val="00F33E58"/>
    <w:rsid w:val="00F34133"/>
    <w:rsid w:val="00F3437A"/>
    <w:rsid w:val="00F34C17"/>
    <w:rsid w:val="00F3564B"/>
    <w:rsid w:val="00F35AE6"/>
    <w:rsid w:val="00F35B1C"/>
    <w:rsid w:val="00F365F5"/>
    <w:rsid w:val="00F36E76"/>
    <w:rsid w:val="00F374B0"/>
    <w:rsid w:val="00F4236A"/>
    <w:rsid w:val="00F42809"/>
    <w:rsid w:val="00F432A2"/>
    <w:rsid w:val="00F4472E"/>
    <w:rsid w:val="00F45213"/>
    <w:rsid w:val="00F455E2"/>
    <w:rsid w:val="00F468A9"/>
    <w:rsid w:val="00F4780D"/>
    <w:rsid w:val="00F506C1"/>
    <w:rsid w:val="00F512AB"/>
    <w:rsid w:val="00F51813"/>
    <w:rsid w:val="00F52AF0"/>
    <w:rsid w:val="00F52FC1"/>
    <w:rsid w:val="00F54494"/>
    <w:rsid w:val="00F54ABA"/>
    <w:rsid w:val="00F54F28"/>
    <w:rsid w:val="00F559E3"/>
    <w:rsid w:val="00F56A77"/>
    <w:rsid w:val="00F576D2"/>
    <w:rsid w:val="00F60919"/>
    <w:rsid w:val="00F60F71"/>
    <w:rsid w:val="00F6120B"/>
    <w:rsid w:val="00F615AA"/>
    <w:rsid w:val="00F61DAD"/>
    <w:rsid w:val="00F61F81"/>
    <w:rsid w:val="00F62BC6"/>
    <w:rsid w:val="00F636EB"/>
    <w:rsid w:val="00F6419B"/>
    <w:rsid w:val="00F64CB3"/>
    <w:rsid w:val="00F65035"/>
    <w:rsid w:val="00F65092"/>
    <w:rsid w:val="00F654C1"/>
    <w:rsid w:val="00F676B8"/>
    <w:rsid w:val="00F67915"/>
    <w:rsid w:val="00F67985"/>
    <w:rsid w:val="00F702EC"/>
    <w:rsid w:val="00F7030B"/>
    <w:rsid w:val="00F7049B"/>
    <w:rsid w:val="00F706C5"/>
    <w:rsid w:val="00F71DFB"/>
    <w:rsid w:val="00F727DD"/>
    <w:rsid w:val="00F728C0"/>
    <w:rsid w:val="00F72B4B"/>
    <w:rsid w:val="00F73627"/>
    <w:rsid w:val="00F73B1F"/>
    <w:rsid w:val="00F740C6"/>
    <w:rsid w:val="00F7472E"/>
    <w:rsid w:val="00F80507"/>
    <w:rsid w:val="00F808D4"/>
    <w:rsid w:val="00F8194D"/>
    <w:rsid w:val="00F82026"/>
    <w:rsid w:val="00F822C5"/>
    <w:rsid w:val="00F82886"/>
    <w:rsid w:val="00F82EF5"/>
    <w:rsid w:val="00F830A4"/>
    <w:rsid w:val="00F83447"/>
    <w:rsid w:val="00F83711"/>
    <w:rsid w:val="00F8545B"/>
    <w:rsid w:val="00F8599E"/>
    <w:rsid w:val="00F862DF"/>
    <w:rsid w:val="00F8649D"/>
    <w:rsid w:val="00F869A9"/>
    <w:rsid w:val="00F87E86"/>
    <w:rsid w:val="00F90537"/>
    <w:rsid w:val="00F90E5A"/>
    <w:rsid w:val="00F91219"/>
    <w:rsid w:val="00F91522"/>
    <w:rsid w:val="00F91927"/>
    <w:rsid w:val="00F91A25"/>
    <w:rsid w:val="00F91CE1"/>
    <w:rsid w:val="00F930C6"/>
    <w:rsid w:val="00F9343B"/>
    <w:rsid w:val="00F93A68"/>
    <w:rsid w:val="00F94090"/>
    <w:rsid w:val="00F94CA2"/>
    <w:rsid w:val="00F96CCD"/>
    <w:rsid w:val="00F96D98"/>
    <w:rsid w:val="00F97677"/>
    <w:rsid w:val="00FA0551"/>
    <w:rsid w:val="00FA0A71"/>
    <w:rsid w:val="00FA115E"/>
    <w:rsid w:val="00FA15F8"/>
    <w:rsid w:val="00FA1898"/>
    <w:rsid w:val="00FA198C"/>
    <w:rsid w:val="00FA4359"/>
    <w:rsid w:val="00FA4A3F"/>
    <w:rsid w:val="00FA60BC"/>
    <w:rsid w:val="00FA68EC"/>
    <w:rsid w:val="00FA7C9A"/>
    <w:rsid w:val="00FB0DFE"/>
    <w:rsid w:val="00FB1965"/>
    <w:rsid w:val="00FB1C89"/>
    <w:rsid w:val="00FB22BF"/>
    <w:rsid w:val="00FB3288"/>
    <w:rsid w:val="00FB38B6"/>
    <w:rsid w:val="00FB3DAE"/>
    <w:rsid w:val="00FB3F65"/>
    <w:rsid w:val="00FB67FC"/>
    <w:rsid w:val="00FB7C6C"/>
    <w:rsid w:val="00FB7F78"/>
    <w:rsid w:val="00FC005A"/>
    <w:rsid w:val="00FC01C2"/>
    <w:rsid w:val="00FC1101"/>
    <w:rsid w:val="00FC12B2"/>
    <w:rsid w:val="00FC2BA9"/>
    <w:rsid w:val="00FC5E94"/>
    <w:rsid w:val="00FC6030"/>
    <w:rsid w:val="00FC6C1F"/>
    <w:rsid w:val="00FC703B"/>
    <w:rsid w:val="00FC71CC"/>
    <w:rsid w:val="00FD1111"/>
    <w:rsid w:val="00FD1AB9"/>
    <w:rsid w:val="00FD2394"/>
    <w:rsid w:val="00FD2E6E"/>
    <w:rsid w:val="00FD3A5B"/>
    <w:rsid w:val="00FD565C"/>
    <w:rsid w:val="00FD5C7E"/>
    <w:rsid w:val="00FD67B2"/>
    <w:rsid w:val="00FD775F"/>
    <w:rsid w:val="00FD783D"/>
    <w:rsid w:val="00FD7C59"/>
    <w:rsid w:val="00FD7CE3"/>
    <w:rsid w:val="00FE2E27"/>
    <w:rsid w:val="00FE3A3E"/>
    <w:rsid w:val="00FE48CC"/>
    <w:rsid w:val="00FE55C8"/>
    <w:rsid w:val="00FE588D"/>
    <w:rsid w:val="00FE7AE6"/>
    <w:rsid w:val="00FE7CB0"/>
    <w:rsid w:val="00FF0303"/>
    <w:rsid w:val="00FF0324"/>
    <w:rsid w:val="00FF0C36"/>
    <w:rsid w:val="00FF0FD6"/>
    <w:rsid w:val="00FF1025"/>
    <w:rsid w:val="00FF18D0"/>
    <w:rsid w:val="00FF20AD"/>
    <w:rsid w:val="00FF28A1"/>
    <w:rsid w:val="00FF28AB"/>
    <w:rsid w:val="00FF3923"/>
    <w:rsid w:val="00FF5739"/>
    <w:rsid w:val="00FF5AFF"/>
    <w:rsid w:val="00FF5B77"/>
    <w:rsid w:val="00FF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84AEB"/>
  <w15:docId w15:val="{5035C610-9226-4697-8306-6DDD2FCDF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89C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styleId="Naslov1">
    <w:name w:val="heading 1"/>
    <w:basedOn w:val="Normal"/>
    <w:next w:val="Normal"/>
    <w:link w:val="Naslov1Char"/>
    <w:qFormat/>
    <w:rsid w:val="00695A9D"/>
    <w:pPr>
      <w:keepNext/>
      <w:suppressAutoHyphens w:val="0"/>
      <w:outlineLvl w:val="0"/>
    </w:pPr>
    <w:rPr>
      <w:rFonts w:cs="Times New Roman"/>
      <w:sz w:val="24"/>
      <w:lang w:val="x-none" w:eastAsia="x-none"/>
    </w:rPr>
  </w:style>
  <w:style w:type="paragraph" w:styleId="Naslov2">
    <w:name w:val="heading 2"/>
    <w:basedOn w:val="Normal"/>
    <w:next w:val="Normal"/>
    <w:link w:val="Naslov2Char"/>
    <w:qFormat/>
    <w:rsid w:val="00695A9D"/>
    <w:pPr>
      <w:keepNext/>
      <w:suppressAutoHyphens w:val="0"/>
      <w:ind w:left="4320"/>
      <w:jc w:val="center"/>
      <w:outlineLvl w:val="1"/>
    </w:pPr>
    <w:rPr>
      <w:rFonts w:cs="Times New Roman"/>
      <w:b/>
      <w:sz w:val="24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695A9D"/>
    <w:pPr>
      <w:keepNext/>
      <w:suppressAutoHyphens w:val="0"/>
      <w:outlineLvl w:val="2"/>
    </w:pPr>
    <w:rPr>
      <w:rFonts w:cs="Times New Roman"/>
      <w:b/>
      <w:sz w:val="24"/>
      <w:lang w:val="x-none" w:eastAsia="x-none"/>
    </w:rPr>
  </w:style>
  <w:style w:type="paragraph" w:styleId="Naslov4">
    <w:name w:val="heading 4"/>
    <w:basedOn w:val="Normal"/>
    <w:next w:val="Normal"/>
    <w:link w:val="Naslov4Char"/>
    <w:uiPriority w:val="9"/>
    <w:qFormat/>
    <w:rsid w:val="00695A9D"/>
    <w:pPr>
      <w:keepNext/>
      <w:keepLines/>
      <w:suppressAutoHyphens w:val="0"/>
      <w:spacing w:before="200"/>
      <w:outlineLvl w:val="3"/>
    </w:pPr>
    <w:rPr>
      <w:rFonts w:ascii="Cambria" w:hAnsi="Cambria" w:cs="Times New Roman"/>
      <w:b/>
      <w:bCs/>
      <w:i/>
      <w:iCs/>
      <w:color w:val="4F81BD"/>
      <w:lang w:eastAsia="x-none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C2019"/>
    <w:pPr>
      <w:keepNext/>
      <w:keepLines/>
      <w:suppressAutoHyphens w:val="0"/>
      <w:spacing w:before="80" w:after="40" w:line="276" w:lineRule="auto"/>
      <w:outlineLvl w:val="4"/>
    </w:pPr>
    <w:rPr>
      <w:rFonts w:ascii="Calibri" w:eastAsiaTheme="majorEastAsia" w:hAnsi="Calibri" w:cstheme="majorBidi"/>
      <w:color w:val="365F91" w:themeColor="accent1" w:themeShade="BF"/>
      <w:sz w:val="22"/>
      <w:szCs w:val="22"/>
      <w:lang w:val="hr-HR" w:eastAsia="en-US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C2019"/>
    <w:pPr>
      <w:keepNext/>
      <w:keepLines/>
      <w:suppressAutoHyphens w:val="0"/>
      <w:spacing w:before="40" w:line="276" w:lineRule="auto"/>
      <w:outlineLvl w:val="5"/>
    </w:pPr>
    <w:rPr>
      <w:rFonts w:ascii="Calibri" w:eastAsiaTheme="majorEastAsia" w:hAnsi="Calibri" w:cstheme="majorBidi"/>
      <w:i/>
      <w:iCs/>
      <w:color w:val="595959" w:themeColor="text1" w:themeTint="A6"/>
      <w:sz w:val="22"/>
      <w:szCs w:val="22"/>
      <w:lang w:val="hr-HR" w:eastAsia="en-US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C2019"/>
    <w:pPr>
      <w:keepNext/>
      <w:keepLines/>
      <w:suppressAutoHyphens w:val="0"/>
      <w:spacing w:before="40" w:line="276" w:lineRule="auto"/>
      <w:outlineLvl w:val="6"/>
    </w:pPr>
    <w:rPr>
      <w:rFonts w:ascii="Calibri" w:eastAsiaTheme="majorEastAsia" w:hAnsi="Calibri" w:cstheme="majorBidi"/>
      <w:color w:val="595959" w:themeColor="text1" w:themeTint="A6"/>
      <w:sz w:val="22"/>
      <w:szCs w:val="22"/>
      <w:lang w:val="hr-HR" w:eastAsia="en-US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C2019"/>
    <w:pPr>
      <w:keepNext/>
      <w:keepLines/>
      <w:suppressAutoHyphens w:val="0"/>
      <w:spacing w:line="276" w:lineRule="auto"/>
      <w:outlineLvl w:val="7"/>
    </w:pPr>
    <w:rPr>
      <w:rFonts w:ascii="Calibri" w:eastAsiaTheme="majorEastAsia" w:hAnsi="Calibri" w:cstheme="majorBidi"/>
      <w:i/>
      <w:iCs/>
      <w:color w:val="272727" w:themeColor="text1" w:themeTint="D8"/>
      <w:sz w:val="22"/>
      <w:szCs w:val="22"/>
      <w:lang w:val="hr-HR" w:eastAsia="en-US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C2019"/>
    <w:pPr>
      <w:keepNext/>
      <w:keepLines/>
      <w:suppressAutoHyphens w:val="0"/>
      <w:spacing w:line="276" w:lineRule="auto"/>
      <w:outlineLvl w:val="8"/>
    </w:pPr>
    <w:rPr>
      <w:rFonts w:ascii="Calibri" w:eastAsiaTheme="majorEastAsia" w:hAnsi="Calibri" w:cstheme="majorBidi"/>
      <w:color w:val="272727" w:themeColor="text1" w:themeTint="D8"/>
      <w:sz w:val="22"/>
      <w:szCs w:val="22"/>
      <w:lang w:val="hr-HR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ijeloteksta21">
    <w:name w:val="Tijelo teksta 21"/>
    <w:basedOn w:val="Normal"/>
    <w:rsid w:val="0023114A"/>
    <w:pPr>
      <w:jc w:val="both"/>
    </w:pPr>
    <w:rPr>
      <w:sz w:val="24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23114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3114A"/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styleId="Podnoje">
    <w:name w:val="footer"/>
    <w:basedOn w:val="Normal"/>
    <w:link w:val="PodnojeChar"/>
    <w:uiPriority w:val="99"/>
    <w:unhideWhenUsed/>
    <w:rsid w:val="0023114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3114A"/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307D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C12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120E"/>
    <w:rPr>
      <w:rFonts w:ascii="Tahoma" w:eastAsia="Times New Roman" w:hAnsi="Tahoma" w:cs="Tahoma"/>
      <w:sz w:val="16"/>
      <w:szCs w:val="16"/>
      <w:lang w:val="en-GB" w:eastAsia="ar-SA"/>
    </w:rPr>
  </w:style>
  <w:style w:type="paragraph" w:styleId="Bezproreda">
    <w:name w:val="No Spacing"/>
    <w:link w:val="BezproredaChar"/>
    <w:uiPriority w:val="1"/>
    <w:qFormat/>
    <w:rsid w:val="00207CE8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F13B9F"/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13B9F"/>
    <w:rPr>
      <w:rFonts w:ascii="Times New Roman" w:eastAsia="Times New Roman" w:hAnsi="Times New Roman" w:cs="Calibri"/>
      <w:sz w:val="20"/>
      <w:szCs w:val="20"/>
      <w:lang w:val="en-GB" w:eastAsia="ar-SA"/>
    </w:rPr>
  </w:style>
  <w:style w:type="character" w:styleId="Referencafusnote">
    <w:name w:val="footnote reference"/>
    <w:basedOn w:val="Zadanifontodlomka"/>
    <w:uiPriority w:val="99"/>
    <w:semiHidden/>
    <w:unhideWhenUsed/>
    <w:rsid w:val="00F13B9F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B36FC4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B36FC4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B36FC4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val="hr-HR" w:eastAsia="hr-HR"/>
    </w:rPr>
  </w:style>
  <w:style w:type="paragraph" w:styleId="StandardWeb">
    <w:name w:val="Normal (Web)"/>
    <w:basedOn w:val="Normal"/>
    <w:uiPriority w:val="99"/>
    <w:unhideWhenUsed/>
    <w:rsid w:val="00B36FC4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val="hr-HR" w:eastAsia="hr-HR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36FC4"/>
    <w:pPr>
      <w:suppressAutoHyphens w:val="0"/>
    </w:pPr>
    <w:rPr>
      <w:rFonts w:cs="Times New Roman"/>
      <w:lang w:val="hr-HR" w:eastAsia="en-US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36FC4"/>
    <w:rPr>
      <w:rFonts w:ascii="Times New Roman" w:eastAsia="Times New Roman" w:hAnsi="Times New Roman" w:cs="Times New Roman"/>
      <w:sz w:val="20"/>
      <w:szCs w:val="20"/>
    </w:rPr>
  </w:style>
  <w:style w:type="character" w:customStyle="1" w:styleId="Tijeloteksta-uvlaka2Char">
    <w:name w:val="Tijelo teksta - uvlaka 2 Char"/>
    <w:aliases w:val="uvlaka 2 Char"/>
    <w:basedOn w:val="Zadanifontodlomka"/>
    <w:link w:val="Tijeloteksta-uvlaka2"/>
    <w:semiHidden/>
    <w:locked/>
    <w:rsid w:val="00B36FC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B36FC4"/>
    <w:pPr>
      <w:suppressAutoHyphens w:val="0"/>
      <w:ind w:firstLine="708"/>
      <w:jc w:val="both"/>
    </w:pPr>
    <w:rPr>
      <w:rFonts w:cs="Times New Roman"/>
      <w:b/>
      <w:bCs/>
      <w:sz w:val="24"/>
      <w:szCs w:val="24"/>
      <w:lang w:val="hr-HR" w:eastAsia="en-US"/>
    </w:rPr>
  </w:style>
  <w:style w:type="character" w:customStyle="1" w:styleId="Tijeloteksta-uvlaka2Char1">
    <w:name w:val="Tijelo teksta - uvlaka 2 Char1"/>
    <w:aliases w:val="uvlaka 2 Char1"/>
    <w:basedOn w:val="Zadanifontodlomka"/>
    <w:semiHidden/>
    <w:rsid w:val="00B36FC4"/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36FC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36F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ezproredaChar">
    <w:name w:val="Bez proreda Char"/>
    <w:link w:val="Bezproreda"/>
    <w:uiPriority w:val="1"/>
    <w:locked/>
    <w:rsid w:val="00B36FC4"/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B36FC4"/>
    <w:rPr>
      <w:rFonts w:ascii="Times New Roman" w:eastAsia="Times New Roman" w:hAnsi="Times New Roman" w:cs="Calibri"/>
      <w:sz w:val="20"/>
      <w:szCs w:val="20"/>
      <w:lang w:val="en-GB" w:eastAsia="ar-SA"/>
    </w:rPr>
  </w:style>
  <w:style w:type="character" w:customStyle="1" w:styleId="Normal6Char">
    <w:name w:val="Normal 6 Char"/>
    <w:link w:val="Normal6"/>
    <w:uiPriority w:val="99"/>
    <w:locked/>
    <w:rsid w:val="00B36FC4"/>
    <w:rPr>
      <w:lang w:val="sl-SI"/>
    </w:rPr>
  </w:style>
  <w:style w:type="paragraph" w:customStyle="1" w:styleId="Normal6">
    <w:name w:val="Normal 6"/>
    <w:basedOn w:val="Normal"/>
    <w:link w:val="Normal6Char"/>
    <w:uiPriority w:val="99"/>
    <w:rsid w:val="00B36FC4"/>
    <w:pPr>
      <w:suppressAutoHyphens w:val="0"/>
      <w:overflowPunct w:val="0"/>
      <w:autoSpaceDE w:val="0"/>
      <w:autoSpaceDN w:val="0"/>
      <w:adjustRightInd w:val="0"/>
      <w:spacing w:before="120" w:after="120"/>
      <w:ind w:left="1080"/>
      <w:jc w:val="both"/>
    </w:pPr>
    <w:rPr>
      <w:rFonts w:asciiTheme="minorHAnsi" w:eastAsiaTheme="minorHAnsi" w:hAnsiTheme="minorHAnsi" w:cstheme="minorBidi"/>
      <w:sz w:val="22"/>
      <w:szCs w:val="22"/>
      <w:lang w:val="sl-SI" w:eastAsia="en-US"/>
    </w:rPr>
  </w:style>
  <w:style w:type="paragraph" w:customStyle="1" w:styleId="t-7">
    <w:name w:val="t-7"/>
    <w:basedOn w:val="Normal"/>
    <w:uiPriority w:val="99"/>
    <w:rsid w:val="00B36FC4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val="hr-HR" w:eastAsia="hr-HR"/>
    </w:rPr>
  </w:style>
  <w:style w:type="paragraph" w:customStyle="1" w:styleId="BodyText21">
    <w:name w:val="Body Text 21"/>
    <w:basedOn w:val="Normal"/>
    <w:uiPriority w:val="99"/>
    <w:rsid w:val="00B36FC4"/>
    <w:pPr>
      <w:suppressAutoHyphens w:val="0"/>
      <w:overflowPunct w:val="0"/>
      <w:autoSpaceDE w:val="0"/>
      <w:autoSpaceDN w:val="0"/>
      <w:adjustRightInd w:val="0"/>
      <w:spacing w:after="120"/>
      <w:jc w:val="both"/>
    </w:pPr>
    <w:rPr>
      <w:rFonts w:cs="Times New Roman"/>
      <w:sz w:val="24"/>
      <w:lang w:val="hr-HR" w:eastAsia="hr-HR"/>
    </w:rPr>
  </w:style>
  <w:style w:type="paragraph" w:customStyle="1" w:styleId="Default">
    <w:name w:val="Default"/>
    <w:uiPriority w:val="99"/>
    <w:rsid w:val="00B3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CONTekst01Char">
    <w:name w:val="CON_Tekst 01 Char"/>
    <w:link w:val="CONTekst01"/>
    <w:locked/>
    <w:rsid w:val="00B36FC4"/>
    <w:rPr>
      <w:rFonts w:ascii="Calibri" w:hAnsi="Calibri" w:cs="Calibri"/>
    </w:rPr>
  </w:style>
  <w:style w:type="paragraph" w:customStyle="1" w:styleId="CONTekst01">
    <w:name w:val="CON_Tekst 01"/>
    <w:link w:val="CONTekst01Char"/>
    <w:qFormat/>
    <w:rsid w:val="00B36FC4"/>
    <w:pPr>
      <w:spacing w:after="120" w:line="264" w:lineRule="auto"/>
      <w:jc w:val="both"/>
    </w:pPr>
    <w:rPr>
      <w:rFonts w:ascii="Calibri" w:hAnsi="Calibri" w:cs="Calibri"/>
    </w:rPr>
  </w:style>
  <w:style w:type="character" w:styleId="Referencakomentara">
    <w:name w:val="annotation reference"/>
    <w:uiPriority w:val="99"/>
    <w:semiHidden/>
    <w:unhideWhenUsed/>
    <w:rsid w:val="00B36FC4"/>
    <w:rPr>
      <w:sz w:val="16"/>
      <w:szCs w:val="16"/>
    </w:rPr>
  </w:style>
  <w:style w:type="character" w:customStyle="1" w:styleId="markedcontent">
    <w:name w:val="markedcontent"/>
    <w:basedOn w:val="Zadanifontodlomka"/>
    <w:rsid w:val="00B36FC4"/>
  </w:style>
  <w:style w:type="table" w:styleId="Reetkatablice">
    <w:name w:val="Table Grid"/>
    <w:basedOn w:val="Obinatablica"/>
    <w:uiPriority w:val="39"/>
    <w:rsid w:val="00B36FC4"/>
    <w:pPr>
      <w:spacing w:before="120" w:after="120" w:line="240" w:lineRule="auto"/>
      <w:ind w:left="115" w:right="115"/>
    </w:pPr>
    <w:rPr>
      <w:rFonts w:ascii="Calibri" w:eastAsia="Calibri" w:hAnsi="Calibri" w:cs="Times New Roman"/>
      <w:color w:val="404040"/>
      <w:sz w:val="20"/>
      <w:szCs w:val="20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  <w:szCs w:val="22"/>
      </w:rPr>
    </w:tblStylePr>
    <w:tblStylePr w:type="lastRow">
      <w:rPr>
        <w:b/>
        <w:i w:val="0"/>
        <w:sz w:val="22"/>
        <w:szCs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table" w:styleId="Tablicareetke1svijetlo-isticanje2">
    <w:name w:val="Grid Table 1 Light Accent 2"/>
    <w:basedOn w:val="Obinatablica"/>
    <w:uiPriority w:val="46"/>
    <w:rsid w:val="00B36FC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aglaeno">
    <w:name w:val="Strong"/>
    <w:basedOn w:val="Zadanifontodlomka"/>
    <w:uiPriority w:val="22"/>
    <w:qFormat/>
    <w:rsid w:val="00B36FC4"/>
    <w:rPr>
      <w:b/>
      <w:bCs/>
    </w:rPr>
  </w:style>
  <w:style w:type="table" w:styleId="ivopisnatablicapopisa7-isticanje5">
    <w:name w:val="List Table 7 Colorful Accent 5"/>
    <w:basedOn w:val="Obinatablica"/>
    <w:uiPriority w:val="52"/>
    <w:rsid w:val="00F34C1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icareetke1svijetlo-isticanje21">
    <w:name w:val="Tablica rešetke 1 (svijetlo) - isticanje 21"/>
    <w:basedOn w:val="Obinatablica"/>
    <w:uiPriority w:val="46"/>
    <w:rsid w:val="0063040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ivopisnatablicapopisa7-isticanje51">
    <w:name w:val="Živopisna tablica popisa 7 - isticanje 51"/>
    <w:basedOn w:val="Obinatablica"/>
    <w:uiPriority w:val="52"/>
    <w:rsid w:val="0063040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object-active">
    <w:name w:val="object-active"/>
    <w:basedOn w:val="Zadanifontodlomka"/>
    <w:rsid w:val="00630407"/>
  </w:style>
  <w:style w:type="character" w:customStyle="1" w:styleId="object">
    <w:name w:val="object"/>
    <w:basedOn w:val="Zadanifontodlomka"/>
    <w:rsid w:val="00630407"/>
  </w:style>
  <w:style w:type="character" w:customStyle="1" w:styleId="Naslov1Char">
    <w:name w:val="Naslov 1 Char"/>
    <w:basedOn w:val="Zadanifontodlomka"/>
    <w:link w:val="Naslov1"/>
    <w:rsid w:val="00695A9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slov2Char">
    <w:name w:val="Naslov 2 Char"/>
    <w:basedOn w:val="Zadanifontodlomka"/>
    <w:link w:val="Naslov2"/>
    <w:rsid w:val="00695A9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slov3Char">
    <w:name w:val="Naslov 3 Char"/>
    <w:basedOn w:val="Zadanifontodlomka"/>
    <w:link w:val="Naslov3"/>
    <w:rsid w:val="00695A9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slov4Char">
    <w:name w:val="Naslov 4 Char"/>
    <w:basedOn w:val="Zadanifontodlomka"/>
    <w:link w:val="Naslov4"/>
    <w:uiPriority w:val="9"/>
    <w:rsid w:val="00695A9D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en-GB" w:eastAsia="x-none"/>
    </w:rPr>
  </w:style>
  <w:style w:type="numbering" w:customStyle="1" w:styleId="Bezpopisa1">
    <w:name w:val="Bez popisa1"/>
    <w:next w:val="Bezpopisa"/>
    <w:uiPriority w:val="99"/>
    <w:semiHidden/>
    <w:unhideWhenUsed/>
    <w:rsid w:val="00695A9D"/>
  </w:style>
  <w:style w:type="paragraph" w:styleId="Tijeloteksta2">
    <w:name w:val="Body Text 2"/>
    <w:basedOn w:val="Normal"/>
    <w:link w:val="Tijeloteksta2Char"/>
    <w:rsid w:val="00695A9D"/>
    <w:pPr>
      <w:suppressAutoHyphens w:val="0"/>
      <w:jc w:val="both"/>
    </w:pPr>
    <w:rPr>
      <w:rFonts w:cs="Times New Roman"/>
      <w:sz w:val="24"/>
      <w:lang w:val="x-none" w:eastAsia="x-none"/>
    </w:rPr>
  </w:style>
  <w:style w:type="character" w:customStyle="1" w:styleId="Tijeloteksta2Char">
    <w:name w:val="Tijelo teksta 2 Char"/>
    <w:basedOn w:val="Zadanifontodlomka"/>
    <w:link w:val="Tijeloteksta2"/>
    <w:rsid w:val="00695A9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Uvuenotijeloteksta">
    <w:name w:val="Body Text Indent"/>
    <w:basedOn w:val="Normal"/>
    <w:link w:val="UvuenotijelotekstaChar"/>
    <w:rsid w:val="00695A9D"/>
    <w:pPr>
      <w:suppressAutoHyphens w:val="0"/>
      <w:spacing w:after="120"/>
      <w:ind w:left="283"/>
    </w:pPr>
    <w:rPr>
      <w:rFonts w:cs="Times New Roman"/>
      <w:lang w:eastAsia="x-none"/>
    </w:rPr>
  </w:style>
  <w:style w:type="character" w:customStyle="1" w:styleId="UvuenotijelotekstaChar">
    <w:name w:val="Uvučeno tijelo teksta Char"/>
    <w:basedOn w:val="Zadanifontodlomka"/>
    <w:link w:val="Uvuenotijeloteksta"/>
    <w:rsid w:val="00695A9D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customStyle="1" w:styleId="NoSpacing1">
    <w:name w:val="No Spacing1"/>
    <w:qFormat/>
    <w:rsid w:val="00695A9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695A9D"/>
    <w:pPr>
      <w:suppressAutoHyphens w:val="0"/>
    </w:pPr>
    <w:rPr>
      <w:rFonts w:ascii="Calibri" w:eastAsia="Calibri" w:hAnsi="Calibri" w:cs="Times New Roman"/>
      <w:lang w:val="x-none" w:eastAsia="x-none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695A9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Referencakrajnjebiljeke">
    <w:name w:val="endnote reference"/>
    <w:uiPriority w:val="99"/>
    <w:semiHidden/>
    <w:unhideWhenUsed/>
    <w:rsid w:val="00695A9D"/>
    <w:rPr>
      <w:vertAlign w:val="superscript"/>
    </w:rPr>
  </w:style>
  <w:style w:type="paragraph" w:styleId="Citat">
    <w:name w:val="Quote"/>
    <w:basedOn w:val="Normal"/>
    <w:next w:val="Normal"/>
    <w:link w:val="CitatChar"/>
    <w:uiPriority w:val="29"/>
    <w:qFormat/>
    <w:rsid w:val="00695A9D"/>
    <w:pPr>
      <w:suppressAutoHyphens w:val="0"/>
      <w:spacing w:before="200" w:after="160"/>
      <w:ind w:left="864" w:right="864"/>
      <w:contextualSpacing/>
      <w:jc w:val="center"/>
    </w:pPr>
    <w:rPr>
      <w:rFonts w:ascii="Calibri" w:eastAsia="Calibri" w:hAnsi="Calibri" w:cs="Times New Roman"/>
      <w:i/>
      <w:iCs/>
      <w:color w:val="404040"/>
      <w:sz w:val="22"/>
      <w:szCs w:val="22"/>
      <w:lang w:val="hr-HR" w:eastAsia="en-US"/>
    </w:rPr>
  </w:style>
  <w:style w:type="character" w:customStyle="1" w:styleId="CitatChar">
    <w:name w:val="Citat Char"/>
    <w:basedOn w:val="Zadanifontodlomka"/>
    <w:link w:val="Citat"/>
    <w:uiPriority w:val="29"/>
    <w:rsid w:val="00695A9D"/>
    <w:rPr>
      <w:rFonts w:ascii="Calibri" w:eastAsia="Calibri" w:hAnsi="Calibri" w:cs="Times New Roman"/>
      <w:i/>
      <w:iCs/>
      <w:color w:val="404040"/>
    </w:rPr>
  </w:style>
  <w:style w:type="paragraph" w:customStyle="1" w:styleId="xl65">
    <w:name w:val="xl65"/>
    <w:basedOn w:val="Normal"/>
    <w:rsid w:val="00695A9D"/>
    <w:pPr>
      <w:suppressAutoHyphens w:val="0"/>
      <w:spacing w:before="100" w:beforeAutospacing="1" w:after="100" w:afterAutospacing="1"/>
    </w:pPr>
    <w:rPr>
      <w:rFonts w:cs="Times New Roman"/>
      <w:b/>
      <w:bCs/>
      <w:sz w:val="24"/>
      <w:szCs w:val="24"/>
      <w:lang w:val="hr-HR" w:eastAsia="hr-HR"/>
    </w:rPr>
  </w:style>
  <w:style w:type="paragraph" w:customStyle="1" w:styleId="xl66">
    <w:name w:val="xl66"/>
    <w:basedOn w:val="Normal"/>
    <w:rsid w:val="00695A9D"/>
    <w:pPr>
      <w:shd w:val="clear" w:color="000000" w:fill="000080"/>
      <w:suppressAutoHyphens w:val="0"/>
      <w:spacing w:before="100" w:beforeAutospacing="1" w:after="100" w:afterAutospacing="1"/>
    </w:pPr>
    <w:rPr>
      <w:rFonts w:cs="Times New Roman"/>
      <w:b/>
      <w:bCs/>
      <w:color w:val="FFFFFF"/>
      <w:sz w:val="24"/>
      <w:szCs w:val="24"/>
      <w:lang w:val="hr-HR" w:eastAsia="hr-HR"/>
    </w:rPr>
  </w:style>
  <w:style w:type="paragraph" w:customStyle="1" w:styleId="xl67">
    <w:name w:val="xl67"/>
    <w:basedOn w:val="Normal"/>
    <w:rsid w:val="00695A9D"/>
    <w:pPr>
      <w:shd w:val="clear" w:color="000000" w:fill="0000FF"/>
      <w:suppressAutoHyphens w:val="0"/>
      <w:spacing w:before="100" w:beforeAutospacing="1" w:after="100" w:afterAutospacing="1"/>
    </w:pPr>
    <w:rPr>
      <w:rFonts w:cs="Times New Roman"/>
      <w:b/>
      <w:bCs/>
      <w:color w:val="FFFFFF"/>
      <w:sz w:val="24"/>
      <w:szCs w:val="24"/>
      <w:lang w:val="hr-HR" w:eastAsia="hr-HR"/>
    </w:rPr>
  </w:style>
  <w:style w:type="paragraph" w:customStyle="1" w:styleId="xl68">
    <w:name w:val="xl68"/>
    <w:basedOn w:val="Normal"/>
    <w:rsid w:val="00695A9D"/>
    <w:pPr>
      <w:shd w:val="clear" w:color="000000" w:fill="3366FF"/>
      <w:suppressAutoHyphens w:val="0"/>
      <w:spacing w:before="100" w:beforeAutospacing="1" w:after="100" w:afterAutospacing="1"/>
    </w:pPr>
    <w:rPr>
      <w:rFonts w:cs="Times New Roman"/>
      <w:b/>
      <w:bCs/>
      <w:color w:val="FFFFFF"/>
      <w:sz w:val="24"/>
      <w:szCs w:val="24"/>
      <w:lang w:val="hr-HR" w:eastAsia="hr-HR"/>
    </w:rPr>
  </w:style>
  <w:style w:type="paragraph" w:customStyle="1" w:styleId="xl69">
    <w:name w:val="xl69"/>
    <w:basedOn w:val="Normal"/>
    <w:rsid w:val="00695A9D"/>
    <w:pPr>
      <w:shd w:val="clear" w:color="000000" w:fill="666699"/>
      <w:suppressAutoHyphens w:val="0"/>
      <w:spacing w:before="100" w:beforeAutospacing="1" w:after="100" w:afterAutospacing="1"/>
    </w:pPr>
    <w:rPr>
      <w:rFonts w:cs="Times New Roman"/>
      <w:b/>
      <w:bCs/>
      <w:color w:val="FFFFFF"/>
      <w:sz w:val="24"/>
      <w:szCs w:val="24"/>
      <w:lang w:val="hr-HR" w:eastAsia="hr-HR"/>
    </w:rPr>
  </w:style>
  <w:style w:type="paragraph" w:customStyle="1" w:styleId="xl70">
    <w:name w:val="xl70"/>
    <w:basedOn w:val="Normal"/>
    <w:rsid w:val="00695A9D"/>
    <w:pPr>
      <w:shd w:val="clear" w:color="000000" w:fill="9999FF"/>
      <w:suppressAutoHyphens w:val="0"/>
      <w:spacing w:before="100" w:beforeAutospacing="1" w:after="100" w:afterAutospacing="1"/>
    </w:pPr>
    <w:rPr>
      <w:rFonts w:cs="Times New Roman"/>
      <w:b/>
      <w:bCs/>
      <w:color w:val="000000"/>
      <w:sz w:val="24"/>
      <w:szCs w:val="24"/>
      <w:lang w:val="hr-HR" w:eastAsia="hr-HR"/>
    </w:rPr>
  </w:style>
  <w:style w:type="paragraph" w:customStyle="1" w:styleId="xl71">
    <w:name w:val="xl71"/>
    <w:basedOn w:val="Normal"/>
    <w:rsid w:val="00695A9D"/>
    <w:pPr>
      <w:shd w:val="clear" w:color="000000" w:fill="CCCCFF"/>
      <w:suppressAutoHyphens w:val="0"/>
      <w:spacing w:before="100" w:beforeAutospacing="1" w:after="100" w:afterAutospacing="1"/>
    </w:pPr>
    <w:rPr>
      <w:rFonts w:cs="Times New Roman"/>
      <w:b/>
      <w:bCs/>
      <w:color w:val="000000"/>
      <w:sz w:val="24"/>
      <w:szCs w:val="24"/>
      <w:lang w:val="hr-HR" w:eastAsia="hr-HR"/>
    </w:rPr>
  </w:style>
  <w:style w:type="paragraph" w:customStyle="1" w:styleId="xl72">
    <w:name w:val="xl72"/>
    <w:basedOn w:val="Normal"/>
    <w:rsid w:val="00695A9D"/>
    <w:pPr>
      <w:suppressAutoHyphens w:val="0"/>
      <w:spacing w:before="100" w:beforeAutospacing="1" w:after="100" w:afterAutospacing="1"/>
      <w:jc w:val="center"/>
    </w:pPr>
    <w:rPr>
      <w:rFonts w:cs="Times New Roman"/>
      <w:b/>
      <w:bCs/>
      <w:sz w:val="24"/>
      <w:szCs w:val="24"/>
      <w:lang w:val="hr-HR" w:eastAsia="hr-HR"/>
    </w:rPr>
  </w:style>
  <w:style w:type="paragraph" w:customStyle="1" w:styleId="xl73">
    <w:name w:val="xl73"/>
    <w:basedOn w:val="Normal"/>
    <w:rsid w:val="00695A9D"/>
    <w:pPr>
      <w:shd w:val="clear" w:color="000000" w:fill="000080"/>
      <w:suppressAutoHyphens w:val="0"/>
      <w:spacing w:before="100" w:beforeAutospacing="1" w:after="100" w:afterAutospacing="1"/>
    </w:pPr>
    <w:rPr>
      <w:rFonts w:cs="Times New Roman"/>
      <w:b/>
      <w:bCs/>
      <w:color w:val="FFFFFF"/>
      <w:sz w:val="24"/>
      <w:szCs w:val="24"/>
      <w:lang w:val="hr-HR" w:eastAsia="hr-HR"/>
    </w:rPr>
  </w:style>
  <w:style w:type="paragraph" w:customStyle="1" w:styleId="xl74">
    <w:name w:val="xl74"/>
    <w:basedOn w:val="Normal"/>
    <w:rsid w:val="00695A9D"/>
    <w:pPr>
      <w:shd w:val="clear" w:color="000000" w:fill="0000FF"/>
      <w:suppressAutoHyphens w:val="0"/>
      <w:spacing w:before="100" w:beforeAutospacing="1" w:after="100" w:afterAutospacing="1"/>
    </w:pPr>
    <w:rPr>
      <w:rFonts w:cs="Times New Roman"/>
      <w:b/>
      <w:bCs/>
      <w:color w:val="FFFFFF"/>
      <w:sz w:val="24"/>
      <w:szCs w:val="24"/>
      <w:lang w:val="hr-HR" w:eastAsia="hr-HR"/>
    </w:rPr>
  </w:style>
  <w:style w:type="paragraph" w:customStyle="1" w:styleId="xl75">
    <w:name w:val="xl75"/>
    <w:basedOn w:val="Normal"/>
    <w:rsid w:val="00695A9D"/>
    <w:pPr>
      <w:shd w:val="clear" w:color="000000" w:fill="666699"/>
      <w:suppressAutoHyphens w:val="0"/>
      <w:spacing w:before="100" w:beforeAutospacing="1" w:after="100" w:afterAutospacing="1"/>
    </w:pPr>
    <w:rPr>
      <w:rFonts w:cs="Times New Roman"/>
      <w:b/>
      <w:bCs/>
      <w:color w:val="FFFFFF"/>
      <w:sz w:val="24"/>
      <w:szCs w:val="24"/>
      <w:lang w:val="hr-HR" w:eastAsia="hr-HR"/>
    </w:rPr>
  </w:style>
  <w:style w:type="paragraph" w:customStyle="1" w:styleId="xl76">
    <w:name w:val="xl76"/>
    <w:basedOn w:val="Normal"/>
    <w:rsid w:val="00695A9D"/>
    <w:pPr>
      <w:shd w:val="clear" w:color="000000" w:fill="9999FF"/>
      <w:suppressAutoHyphens w:val="0"/>
      <w:spacing w:before="100" w:beforeAutospacing="1" w:after="100" w:afterAutospacing="1"/>
    </w:pPr>
    <w:rPr>
      <w:rFonts w:cs="Times New Roman"/>
      <w:b/>
      <w:bCs/>
      <w:color w:val="000000"/>
      <w:sz w:val="24"/>
      <w:szCs w:val="24"/>
      <w:lang w:val="hr-HR" w:eastAsia="hr-HR"/>
    </w:rPr>
  </w:style>
  <w:style w:type="paragraph" w:customStyle="1" w:styleId="xl77">
    <w:name w:val="xl77"/>
    <w:basedOn w:val="Normal"/>
    <w:rsid w:val="00695A9D"/>
    <w:pPr>
      <w:shd w:val="clear" w:color="000000" w:fill="CCCCFF"/>
      <w:suppressAutoHyphens w:val="0"/>
      <w:spacing w:before="100" w:beforeAutospacing="1" w:after="100" w:afterAutospacing="1"/>
    </w:pPr>
    <w:rPr>
      <w:rFonts w:cs="Times New Roman"/>
      <w:b/>
      <w:bCs/>
      <w:color w:val="000000"/>
      <w:sz w:val="24"/>
      <w:szCs w:val="24"/>
      <w:lang w:val="hr-HR" w:eastAsia="hr-HR"/>
    </w:rPr>
  </w:style>
  <w:style w:type="paragraph" w:customStyle="1" w:styleId="xl78">
    <w:name w:val="xl78"/>
    <w:basedOn w:val="Normal"/>
    <w:rsid w:val="00695A9D"/>
    <w:pPr>
      <w:shd w:val="clear" w:color="000000" w:fill="3366FF"/>
      <w:suppressAutoHyphens w:val="0"/>
      <w:spacing w:before="100" w:beforeAutospacing="1" w:after="100" w:afterAutospacing="1"/>
    </w:pPr>
    <w:rPr>
      <w:rFonts w:cs="Times New Roman"/>
      <w:b/>
      <w:bCs/>
      <w:color w:val="FFFFFF"/>
      <w:sz w:val="24"/>
      <w:szCs w:val="24"/>
      <w:lang w:val="hr-HR" w:eastAsia="hr-HR"/>
    </w:rPr>
  </w:style>
  <w:style w:type="paragraph" w:customStyle="1" w:styleId="xl79">
    <w:name w:val="xl79"/>
    <w:basedOn w:val="Normal"/>
    <w:rsid w:val="00695A9D"/>
    <w:pPr>
      <w:shd w:val="clear" w:color="9CA9FE" w:fill="9CA9FE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0">
    <w:name w:val="xl80"/>
    <w:basedOn w:val="Normal"/>
    <w:rsid w:val="00695A9D"/>
    <w:pPr>
      <w:shd w:val="clear" w:color="9CA9FE" w:fill="9CA9FE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1">
    <w:name w:val="xl81"/>
    <w:basedOn w:val="Normal"/>
    <w:rsid w:val="00695A9D"/>
    <w:pPr>
      <w:pBdr>
        <w:right w:val="single" w:sz="4" w:space="0" w:color="auto"/>
      </w:pBdr>
      <w:shd w:val="clear" w:color="9CA9FE" w:fill="9CA9FE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2">
    <w:name w:val="xl82"/>
    <w:basedOn w:val="Normal"/>
    <w:rsid w:val="00695A9D"/>
    <w:pPr>
      <w:pBdr>
        <w:left w:val="single" w:sz="4" w:space="0" w:color="auto"/>
      </w:pBdr>
      <w:shd w:val="clear" w:color="C1C1FF" w:fill="C1C1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3">
    <w:name w:val="xl83"/>
    <w:basedOn w:val="Normal"/>
    <w:rsid w:val="00695A9D"/>
    <w:pPr>
      <w:shd w:val="clear" w:color="C1C1FF" w:fill="C1C1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4">
    <w:name w:val="xl84"/>
    <w:basedOn w:val="Normal"/>
    <w:rsid w:val="00695A9D"/>
    <w:pPr>
      <w:shd w:val="clear" w:color="C1C1FF" w:fill="C1C1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5">
    <w:name w:val="xl85"/>
    <w:basedOn w:val="Normal"/>
    <w:rsid w:val="00695A9D"/>
    <w:pPr>
      <w:pBdr>
        <w:right w:val="single" w:sz="4" w:space="0" w:color="auto"/>
      </w:pBdr>
      <w:shd w:val="clear" w:color="C1C1FF" w:fill="C1C1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6">
    <w:name w:val="xl86"/>
    <w:basedOn w:val="Normal"/>
    <w:rsid w:val="00695A9D"/>
    <w:pPr>
      <w:pBdr>
        <w:left w:val="single" w:sz="4" w:space="0" w:color="auto"/>
      </w:pBdr>
      <w:shd w:val="clear" w:color="E1E1FF" w:fill="E1E1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7">
    <w:name w:val="xl87"/>
    <w:basedOn w:val="Normal"/>
    <w:rsid w:val="00695A9D"/>
    <w:pPr>
      <w:shd w:val="clear" w:color="E1E1FF" w:fill="E1E1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8">
    <w:name w:val="xl88"/>
    <w:basedOn w:val="Normal"/>
    <w:rsid w:val="00695A9D"/>
    <w:pPr>
      <w:shd w:val="clear" w:color="E1E1FF" w:fill="E1E1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9">
    <w:name w:val="xl89"/>
    <w:basedOn w:val="Normal"/>
    <w:rsid w:val="00695A9D"/>
    <w:pPr>
      <w:pBdr>
        <w:right w:val="single" w:sz="4" w:space="0" w:color="auto"/>
      </w:pBdr>
      <w:shd w:val="clear" w:color="E1E1FF" w:fill="E1E1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90">
    <w:name w:val="xl90"/>
    <w:basedOn w:val="Normal"/>
    <w:rsid w:val="00695A9D"/>
    <w:pPr>
      <w:pBdr>
        <w:left w:val="single" w:sz="4" w:space="0" w:color="auto"/>
      </w:pBdr>
      <w:shd w:val="clear" w:color="3535FF" w:fill="3535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FFFF"/>
      <w:sz w:val="24"/>
      <w:szCs w:val="24"/>
      <w:lang w:val="hr-HR" w:eastAsia="hr-HR"/>
    </w:rPr>
  </w:style>
  <w:style w:type="paragraph" w:customStyle="1" w:styleId="xl91">
    <w:name w:val="xl91"/>
    <w:basedOn w:val="Normal"/>
    <w:rsid w:val="00695A9D"/>
    <w:pPr>
      <w:shd w:val="clear" w:color="3535FF" w:fill="3535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FFFF"/>
      <w:sz w:val="24"/>
      <w:szCs w:val="24"/>
      <w:lang w:val="hr-HR" w:eastAsia="hr-HR"/>
    </w:rPr>
  </w:style>
  <w:style w:type="paragraph" w:customStyle="1" w:styleId="xl92">
    <w:name w:val="xl92"/>
    <w:basedOn w:val="Normal"/>
    <w:rsid w:val="00695A9D"/>
    <w:pPr>
      <w:shd w:val="clear" w:color="3535FF" w:fill="3535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FFFFFF"/>
      <w:sz w:val="24"/>
      <w:szCs w:val="24"/>
      <w:lang w:val="hr-HR" w:eastAsia="hr-HR"/>
    </w:rPr>
  </w:style>
  <w:style w:type="paragraph" w:customStyle="1" w:styleId="xl93">
    <w:name w:val="xl93"/>
    <w:basedOn w:val="Normal"/>
    <w:rsid w:val="00695A9D"/>
    <w:pPr>
      <w:pBdr>
        <w:right w:val="single" w:sz="4" w:space="0" w:color="auto"/>
      </w:pBdr>
      <w:shd w:val="clear" w:color="3535FF" w:fill="3535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FFFFFF"/>
      <w:sz w:val="24"/>
      <w:szCs w:val="24"/>
      <w:lang w:val="hr-HR" w:eastAsia="hr-HR"/>
    </w:rPr>
  </w:style>
  <w:style w:type="numbering" w:customStyle="1" w:styleId="Bezpopisa2">
    <w:name w:val="Bez popisa2"/>
    <w:next w:val="Bezpopisa"/>
    <w:uiPriority w:val="99"/>
    <w:semiHidden/>
    <w:unhideWhenUsed/>
    <w:rsid w:val="00695A9D"/>
  </w:style>
  <w:style w:type="table" w:customStyle="1" w:styleId="Reetkatablice1">
    <w:name w:val="Rešetka tablice1"/>
    <w:basedOn w:val="Obinatablica"/>
    <w:next w:val="Reetkatablice"/>
    <w:uiPriority w:val="39"/>
    <w:rsid w:val="00695A9D"/>
    <w:pPr>
      <w:spacing w:before="120" w:after="120" w:line="240" w:lineRule="auto"/>
      <w:ind w:left="115" w:right="115"/>
    </w:pPr>
    <w:rPr>
      <w:rFonts w:ascii="Calibri" w:eastAsia="Calibri" w:hAnsi="Calibri" w:cs="Times New Roman"/>
      <w:color w:val="404040"/>
      <w:sz w:val="20"/>
      <w:szCs w:val="20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  <w:szCs w:val="22"/>
      </w:rPr>
    </w:tblStylePr>
    <w:tblStylePr w:type="lastRow">
      <w:rPr>
        <w:b/>
        <w:i w:val="0"/>
        <w:sz w:val="22"/>
        <w:szCs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numbering" w:customStyle="1" w:styleId="Bezpopisa3">
    <w:name w:val="Bez popisa3"/>
    <w:next w:val="Bezpopisa"/>
    <w:uiPriority w:val="99"/>
    <w:semiHidden/>
    <w:unhideWhenUsed/>
    <w:rsid w:val="00695A9D"/>
  </w:style>
  <w:style w:type="table" w:customStyle="1" w:styleId="Reetkatablice2">
    <w:name w:val="Rešetka tablice2"/>
    <w:basedOn w:val="Obinatablica"/>
    <w:next w:val="Reetkatablice"/>
    <w:uiPriority w:val="39"/>
    <w:rsid w:val="00695A9D"/>
    <w:pPr>
      <w:spacing w:before="120" w:after="120" w:line="240" w:lineRule="auto"/>
      <w:ind w:left="115" w:right="115"/>
    </w:pPr>
    <w:rPr>
      <w:rFonts w:ascii="Calibri" w:eastAsia="Calibri" w:hAnsi="Calibri" w:cs="Times New Roman"/>
      <w:color w:val="404040"/>
      <w:sz w:val="20"/>
      <w:szCs w:val="20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  <w:szCs w:val="22"/>
      </w:rPr>
    </w:tblStylePr>
    <w:tblStylePr w:type="lastRow">
      <w:rPr>
        <w:b/>
        <w:i w:val="0"/>
        <w:sz w:val="22"/>
        <w:szCs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table" w:styleId="Svijetlatablicareetke-isticanje1">
    <w:name w:val="Grid Table 1 Light Accent 1"/>
    <w:basedOn w:val="Obinatablica"/>
    <w:uiPriority w:val="46"/>
    <w:rsid w:val="00695A9D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ontstyle01">
    <w:name w:val="fontstyle01"/>
    <w:basedOn w:val="Zadanifontodlomka"/>
    <w:rsid w:val="00695A9D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C2019"/>
    <w:rPr>
      <w:rFonts w:ascii="Calibri" w:eastAsiaTheme="majorEastAsia" w:hAnsi="Calibri" w:cstheme="majorBidi"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C2019"/>
    <w:rPr>
      <w:rFonts w:ascii="Calibri" w:eastAsiaTheme="majorEastAsia" w:hAnsi="Calibri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C2019"/>
    <w:rPr>
      <w:rFonts w:ascii="Calibri" w:eastAsiaTheme="majorEastAsia" w:hAnsi="Calibri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C2019"/>
    <w:rPr>
      <w:rFonts w:ascii="Calibri" w:eastAsiaTheme="majorEastAsia" w:hAnsi="Calibri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C2019"/>
    <w:rPr>
      <w:rFonts w:ascii="Calibri" w:eastAsiaTheme="majorEastAsia" w:hAnsi="Calibri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C2019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r-HR" w:eastAsia="en-US"/>
    </w:rPr>
  </w:style>
  <w:style w:type="character" w:customStyle="1" w:styleId="NaslovChar">
    <w:name w:val="Naslov Char"/>
    <w:basedOn w:val="Zadanifontodlomka"/>
    <w:link w:val="Naslov"/>
    <w:uiPriority w:val="10"/>
    <w:rsid w:val="001C20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C2019"/>
    <w:pPr>
      <w:numPr>
        <w:ilvl w:val="1"/>
      </w:numPr>
      <w:suppressAutoHyphens w:val="0"/>
      <w:spacing w:after="200" w:line="276" w:lineRule="auto"/>
    </w:pPr>
    <w:rPr>
      <w:rFonts w:ascii="Calibri" w:eastAsiaTheme="majorEastAsia" w:hAnsi="Calibri" w:cstheme="majorBidi"/>
      <w:color w:val="595959" w:themeColor="text1" w:themeTint="A6"/>
      <w:spacing w:val="15"/>
      <w:sz w:val="28"/>
      <w:szCs w:val="28"/>
      <w:lang w:val="hr-HR" w:eastAsia="en-US"/>
    </w:rPr>
  </w:style>
  <w:style w:type="character" w:customStyle="1" w:styleId="PodnaslovChar">
    <w:name w:val="Podnaslov Char"/>
    <w:basedOn w:val="Zadanifontodlomka"/>
    <w:link w:val="Podnaslov"/>
    <w:uiPriority w:val="11"/>
    <w:rsid w:val="001C2019"/>
    <w:rPr>
      <w:rFonts w:ascii="Calibri" w:eastAsiaTheme="majorEastAsia" w:hAnsi="Calibri" w:cstheme="majorBidi"/>
      <w:color w:val="595959" w:themeColor="text1" w:themeTint="A6"/>
      <w:spacing w:val="15"/>
      <w:sz w:val="28"/>
      <w:szCs w:val="28"/>
    </w:rPr>
  </w:style>
  <w:style w:type="character" w:styleId="Jakoisticanje">
    <w:name w:val="Intense Emphasis"/>
    <w:basedOn w:val="Zadanifontodlomka"/>
    <w:uiPriority w:val="21"/>
    <w:qFormat/>
    <w:rsid w:val="001C2019"/>
    <w:rPr>
      <w:i/>
      <w:iCs/>
      <w:color w:val="365F9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C201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uppressAutoHyphens w:val="0"/>
      <w:spacing w:before="360" w:after="360" w:line="276" w:lineRule="auto"/>
      <w:ind w:left="864" w:right="864"/>
      <w:jc w:val="center"/>
    </w:pPr>
    <w:rPr>
      <w:rFonts w:ascii="Calibri" w:eastAsia="Calibri" w:hAnsi="Calibri" w:cs="Times New Roman"/>
      <w:i/>
      <w:iCs/>
      <w:color w:val="365F91" w:themeColor="accent1" w:themeShade="BF"/>
      <w:sz w:val="22"/>
      <w:szCs w:val="22"/>
      <w:lang w:val="hr-HR" w:eastAsia="en-US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C2019"/>
    <w:rPr>
      <w:rFonts w:ascii="Calibri" w:eastAsia="Calibri" w:hAnsi="Calibri" w:cs="Times New Roman"/>
      <w:i/>
      <w:iCs/>
      <w:color w:val="365F9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C2019"/>
    <w:rPr>
      <w:b/>
      <w:bCs/>
      <w:smallCaps/>
      <w:color w:val="365F91" w:themeColor="accent1" w:themeShade="BF"/>
      <w:spacing w:val="5"/>
    </w:rPr>
  </w:style>
  <w:style w:type="paragraph" w:styleId="Tijeloteksta">
    <w:name w:val="Body Text"/>
    <w:basedOn w:val="Normal"/>
    <w:link w:val="TijelotekstaChar"/>
    <w:uiPriority w:val="99"/>
    <w:unhideWhenUsed/>
    <w:rsid w:val="001C2019"/>
    <w:pPr>
      <w:suppressAutoHyphens w:val="0"/>
      <w:spacing w:after="120" w:line="276" w:lineRule="auto"/>
    </w:pPr>
    <w:rPr>
      <w:rFonts w:ascii="Calibri" w:eastAsia="Calibri" w:hAnsi="Calibri" w:cs="Times New Roman"/>
      <w:sz w:val="22"/>
      <w:szCs w:val="22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uiPriority w:val="99"/>
    <w:rsid w:val="001C2019"/>
    <w:rPr>
      <w:rFonts w:ascii="Calibri" w:eastAsia="Calibri" w:hAnsi="Calibri" w:cs="Times New Roman"/>
    </w:rPr>
  </w:style>
  <w:style w:type="character" w:customStyle="1" w:styleId="cf01">
    <w:name w:val="cf01"/>
    <w:basedOn w:val="Zadanifontodlomka"/>
    <w:rsid w:val="001C201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1C2019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ABDD9-178D-4344-B630-76BA95EFC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3553</TotalTime>
  <Pages>1</Pages>
  <Words>9794</Words>
  <Characters>55826</Characters>
  <Application>Microsoft Office Word</Application>
  <DocSecurity>0</DocSecurity>
  <Lines>465</Lines>
  <Paragraphs>130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Znika</dc:creator>
  <cp:keywords/>
  <dc:description/>
  <cp:lastModifiedBy>Ivana Petek</cp:lastModifiedBy>
  <cp:revision>122</cp:revision>
  <cp:lastPrinted>2025-11-13T13:57:00Z</cp:lastPrinted>
  <dcterms:created xsi:type="dcterms:W3CDTF">2024-09-02T11:05:00Z</dcterms:created>
  <dcterms:modified xsi:type="dcterms:W3CDTF">2025-11-13T14:00:00Z</dcterms:modified>
</cp:coreProperties>
</file>